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b/>
          <w:bCs/>
          <w:sz w:val="48"/>
          <w:szCs w:val="48"/>
        </w:rPr>
        <w:t xml:space="preserve">Mock TFL Shells</w:t>
      </w:r>
    </w:p>
    <w:p>
      <w:pPr>
        <w:spacing w:before="600"/>
      </w:pPr>
    </w:p>
    <w:p>
      <w:pPr>
        <w:jc w:val="center"/>
      </w:pPr>
      <w:r>
        <w:rPr>
          <w:b/>
          <w:bCs/>
          <w:sz w:val="32"/>
          <w:szCs w:val="32"/>
        </w:rPr>
        <w:t xml:space="preserve">Protocol: HF-1002-CL-101</w:t>
      </w:r>
    </w:p>
    <w:p>
      <w:pPr>
        <w:spacing w:before="200"/>
      </w:pPr>
    </w:p>
    <w:p>
      <w:pPr>
        <w:jc w:val="center"/>
      </w:pPr>
      <w:r>
        <w:rPr>
          <w:sz w:val="28"/>
          <w:szCs w:val="28"/>
        </w:rPr>
        <w:t xml:space="preserve">Sponsor: Corvexa Therapeutics, Inc. (fictional)</w:t>
      </w:r>
    </w:p>
    <w:p>
      <w:pPr>
        <w:spacing w:before="400"/>
      </w:pPr>
    </w:p>
    <w:p>
      <w:pPr>
        <w:jc w:val="center"/>
      </w:pPr>
      <w:r>
        <w:rPr>
          <w:sz w:val="24"/>
          <w:szCs w:val="24"/>
        </w:rPr>
        <w:t xml:space="preserve">A Phase 1, Open-Label, Sequential Dose-Escalation Study of a Single Intracoronary Infusion of HF-1002 in Adults with Nonischemic Cardiomyopathy and NYHA Class III Heart Failure</w:t>
      </w:r>
    </w:p>
    <w:p>
      <w:pPr>
        <w:spacing w:before="1000"/>
      </w:pPr>
    </w:p>
    <w:p>
      <w:pPr>
        <w:jc w:val="center"/>
      </w:pPr>
      <w:r>
        <w:rPr>
          <w:sz w:val="22"/>
          <w:szCs w:val="22"/>
        </w:rPr>
        <w:t xml:space="preserve">Generated: JUN 07, 2026</w:t>
      </w:r>
    </w:p>
    <w:p>
      <w:pPr>
        <w:spacing w:before="200"/>
      </w:pPr>
    </w:p>
    <w:p>
      <w:pPr>
        <w:jc w:val="center"/>
      </w:pPr>
      <w:r>
        <w:rPr>
          <w:b/>
          <w:bCs/>
          <w:color w:val="FF0000"/>
          <w:sz w:val="20"/>
          <w:szCs w:val="20"/>
        </w:rPr>
        <w:t xml:space="preserve">DRAFT - FOR PROGRAMMING USE ONLY</w:t>
      </w:r>
    </w:p>
    <w:p>
      <w:r>
        <w:br w:type="page"/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b/>
          <w:bCs/>
          <w:sz w:val="24"/>
          <w:szCs w:val="24"/>
        </w:rP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2"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14.1.1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Demographics and Baseline Characteristics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Age (years)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Min, Max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Age Group,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&lt;65 years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≥65 years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≥75 years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Sex,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Male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Female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Race,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White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Black or African American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Asian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Other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Ethnicity,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Hispanic or Latino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Not Hispanic or Latino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Not Reported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Weight (kg)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Min, Max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BMI (kg/m²)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Min, Max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ADSL = Subject-Level Analysis Dataset.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Percentages are based on N in column heading.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SD = Standard Deviation; BMI = Body Mass Index.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14.1.2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Participant Disposition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Enrolled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Randomized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Treated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Completed Study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Discontinued Study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Primary Reason for Discontinuation,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Adverse Event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Death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Lack of Efficacy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Lost to Follow-up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Protocol Deviation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Withdrawal by Subject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Physician Decision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Other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ADSL = Subject-Level Analysis Dataset.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Enrolled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Percentages for discontinuation reasons are based on number randomized.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Subjects may have multiple reasons for discontinuation; primary reason is presented.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14.1.3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Extent of Exposure (Dose Administered)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Duration of Exposure (days)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Min, Max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Duration of Exposure Category,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&lt;1 month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≥1 to &lt;3 months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≥3 to &lt;6 months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≥6 to &lt;12 months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≥12 months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 Drug Exposure (mg)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Number of Doses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ADEX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ADEX = Exposure Analysis Dataset;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Duration calculated as (last dose date - first dose date + 1).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Percentages based on N in column heading.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14.2.1.1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Change from Baseline in LVEF (Central Reader) at Months 3, 6, 12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LVEF (%) by central echocardiography reader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3 -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3 -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6 -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6 -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12 -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Month 12 -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at Month 12 - 95%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ADIMG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ADIMG = Imaging Analysis Dataset; LVEF = Left Ventricular Ejection Fraction;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Full Analysis Set = participants who received the complete planned infusion with baseline and &gt;=1 post-baseline central-reader assessment.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All echocardiograms read by an independent central reader blinded to visit and to the local read.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Inter-reader reliability (local vs central, ICC) summarized in Table 14.2.1.2.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14.2.2.1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Change from Baseline in pVO2 (CPET) at Months 3, 6, 12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Min, Max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xx, xxx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3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6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12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ADEFF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ADEFF = Efficacy Analysis Dataset;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Change from Baseline = post-baseline value minus baseline value.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95% CI = descriptive two-sided 95% confidence interval for the mean change.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Observed cases only; the number of contributing participants (n) is shown at each timepoint per SAP.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14.2.2.2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Change from Baseline in 6MWT Distance at Months 3, 6, 12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3 -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6 -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12 -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ADEFF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ADEFF = Efficacy Analysis Dataset; NYHA = New York Heart Association;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Change from Baseline = post-baseline value minus baseline value.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For ordinal/shift endpoints (e.g., NYHA class), program as a shift table from baseline; this shell shows the descriptive change-from-baseline layout.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95% CI = descriptive two-sided 95% confidence interval; observed cases only.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14.2.3.1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NYHA Functional Class — Shift from Baseline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3 -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6 -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12 -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ADEFF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ADEFF = Efficacy Analysis Dataset; NYHA = New York Heart Association;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Change from Baseline = post-baseline value minus baseline value.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For ordinal/shift endpoints (e.g., NYHA class), program as a shift table from baseline; this shell shows the descriptive change-from-baseline layout.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95% CI = descriptive two-sided 95% confidence interval; observed cases only.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14.2.4.1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Change from Baseline in MLHFQ Total Score at Months 3, 6, 12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3 -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6 -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12 -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ADEFF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ADEFF = Efficacy Analysis Dataset; NYHA = New York Heart Association;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Change from Baseline = post-baseline value minus baseline value.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For ordinal/shift endpoints (e.g., NYHA class), program as a shift table from baseline; this shell shows the descriptive change-from-baseline layout.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95% CI = descriptive two-sided 95% confidence interval; observed cases only.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14.2.4.2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Change from Baseline in KCCQ Overall Summary Score at Months 3, 6, 12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Full Analysis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Median (Q1, Q3)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(xx.x, 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3 -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6 -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Month 12 - Change from Baseline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95% CI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(xx.xx, 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ADEFF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ADEFF = Efficacy Analysis Dataset; NYHA = New York Heart Association;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Full Analysis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Descriptive summary by dose cohort and overall; no formal hypothesis testing (Phase 1, single-arm).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Change from Baseline = post-baseline value minus baseline value.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For ordinal/shift endpoints (e.g., NYHA class), program as a shift table from baseline; this shell shows the descriptive change-from-baseline layout.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95% CI = descriptive two-sided 95% confidence interval; observed cases only.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14.3.1.1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Overall Summary of TEAEs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in population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treatment-related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serious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serious treatment-related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severe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TEAE leading to study drug discontinuation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TEAE leading to death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Deaths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TEAE = Treatment-emergent adverse event, defined as any AE with onset on or after the first dose of study drug and within [X] days of last dose.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Related = Possibly, probably, or definitely related to study drug as assessed by investigator.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Percentages are based on N in column heading.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A subject with multiple events is counted once per row.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14.3.1.2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TEAEs by System Organ Class and Preferred Term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TEAE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[System Organ Class]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[System Organ Class]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MedDRA = Medical Dictionary for Regulatory Activities; SOC = System Organ Class.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MedDRA Version XX.X.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TEAE = Treatment-emergent adverse event.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System organ classes sorted by decreasing frequency in Total column.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Preferred terms sorted by decreasing frequency within SOC.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[e]</w:t>
      </w:r>
      <w:r>
        <w:rPr>
          <w:rFonts w:ascii="Courier New" w:cs="Courier New" w:eastAsia="Courier New" w:hAnsi="Courier New"/>
          <w:sz w:val="16"/>
          <w:szCs w:val="16"/>
        </w:rPr>
        <w:t xml:space="preserve"> A subject with multiple events in the same SOC/PT is counted once per SOC/PT.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14.3.2.1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Serious Adverse Events by SOC and PT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SAE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[System Organ Class]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Event; MedDRA = Medical Dictionary for Regulatory Activities; PT = Preferred Term; SOC = System Organ Class.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SAE = Serious adverse event, defined as any AE that results in death, is life-threatening, requires hospitalization, results in persistent disability, or is a congenital anomaly.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MedDRA Version XX.X.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A subject with multiple events is counted once per SOC/PT.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14.3.3.1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Dose-Limiting Toxicities by Cohort and Dose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DLT-Evaluable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Subjects with at least one AE leading to discontinuation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[System Organ Class]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[Preferred Term]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Event; MedDRA = Medical Dictionary for Regulatory Activities.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DLT-Evaluable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Includes AEs with action taken = 'Drug Withdrawn' or 'Drug Discontinued'.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MedDRA Version XX.X.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14.3.4.1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Summary of Deaths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Total Deaths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Deaths during Treatment Period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Deaths during Follow-up Period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Primary Cause of Death, n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Cardiac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Vascular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Infection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Malignancy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Other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Unknown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 (xx.x)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ADSL,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ADSL = Subject-Level Analysis Dataset; CEC = Clinical Events Committee.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Treatment period = first dose to last dose + [X] days.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Follow-up period = after treatment period to end of study.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Primary cause of death as determined by investigator (or CEC if applicable).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14.3.5.1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Laboratory Parameters — Hematology (Observed and Change)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Hemoglobin (g/dL)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Hematocrit (%)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Platelets (10⁹/L)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ADLB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ADLB = Laboratory Analysis Dataset;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Baseline = last non-missing value prior to first dose.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End of Treatment = last non-missing value on or after first dose.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SI units used throughout.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Table 14.3.6.1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Summary of Vital Signs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9"/>
        <w:gridCol w:w="2152"/>
        <w:gridCol w:w="2152"/>
        <w:gridCol w:w="2152"/>
        <w:gridCol w:w="2152"/>
      </w:tblGrid>
      <w:tr>
        <w:trPr>
          <w:tblHeader/>
        </w:trPr>
        <w:tc>
          <w:tcPr>
            <w:tcW w:type="dxa" w:w="4709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1 (Low)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2 (Mid)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Cohort 3 (High)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  <w:tc>
          <w:tcPr>
            <w:tcW w:type="dxa" w:w="215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(N=xx)</w:t>
            </w:r>
          </w:p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n (%)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Systolic Blood Pressure (mmHg)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Diastolic Blood Pressure (mmHg)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Heart Rate (bpm)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n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End of Treatment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  <w:tr>
        <w:tc>
          <w:tcPr>
            <w:tcW w:type="dxa" w:w="4709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Change from Baseline - Mean (SD)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  <w:tc>
          <w:tcPr>
            <w:tcW w:type="dxa" w:w="215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xx.x (xx.xx)</w:t>
            </w:r>
          </w:p>
        </w:tc>
      </w:tr>
    </w:tbl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ADVS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ADVS = Vital Signs Analysis Dataset; SD = Standard Deviation.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Baseline = last non-missing value prior to first dose.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End of Treatment = last non-missing value on or after first dose.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Vital signs measured after 5 minutes rest in sitting position.</w:t>
      </w:r>
    </w:p>
    <w:p>
      <w:pPr>
        <w:pStyle w:val="Heading1"/>
        <w:pageBreakBefore/>
      </w:pPr>
      <w:r>
        <w:t xml:space="preserve">Listings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16.1.1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Participant Disposition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Enrolled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65"/>
        <w:gridCol w:w="1665"/>
        <w:gridCol w:w="1665"/>
        <w:gridCol w:w="1665"/>
        <w:gridCol w:w="1665"/>
        <w:gridCol w:w="1665"/>
        <w:gridCol w:w="1665"/>
        <w:gridCol w:w="1665"/>
      </w:tblGrid>
      <w:tr>
        <w:trPr>
          <w:tblHeader/>
        </w:trPr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Site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Randomization Date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First Dose Date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Last Dose Date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Study Status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End of Study Date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Site &gt; Subject ID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ADSL = Subject-Level Analysis Dataset.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Enrolled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Dates: DDMMMYYYY format.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One row per subject.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16.1.2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Demographics and Baseline Characteristics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Enrolled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/>
        </w:trPr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Age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Sex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Race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Ethnicity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Weight (kg)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Height (cm)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BMI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Region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ADSL = Subject-Level Analysis Dataset; BMI = Body Mass Index.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Enrolled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One row per subject.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16.1.3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Study Drug Exposure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rPr>
          <w:tblHeader/>
        </w:trPr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First Dose Date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Last Dose Date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Duration (days)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Total Dose (mg)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Number of Doses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Dose Modifications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Reason for Discontinuation</w:t>
            </w:r>
          </w:p>
        </w:tc>
      </w:tr>
      <w:tr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ADEX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ADEX = Exposure Analysis Dataset.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Dates: DDMMMYYYY format.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Duration = last dose - first dose + 1.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16.1.4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Protocol Deviations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Enrolled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65"/>
        <w:gridCol w:w="1665"/>
        <w:gridCol w:w="1665"/>
        <w:gridCol w:w="1665"/>
        <w:gridCol w:w="1665"/>
        <w:gridCol w:w="1665"/>
        <w:gridCol w:w="1665"/>
        <w:gridCol w:w="1665"/>
      </w:tblGrid>
      <w:tr>
        <w:trPr>
          <w:tblHeader/>
        </w:trPr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Site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Deviation Category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Deviation Description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Deviation Date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Major/Minor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Impact on Analysis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Site &gt; Subject ID &gt; Deviation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ADDV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ADDV = Protocol Deviations Analysis Dataset; mITT = Modified Intent-to-Treat; PP = Per-Protocol.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Enrolled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Major deviations may impact subject's eligibility or primary endpoint evaluation.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Impact: Excluded from PP, Excluded from mITT, None, Other.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16.2.1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Concomitant Medications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/>
        </w:trPr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Medication (WHODrug PT)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ATC Class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Indication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Start Date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End Date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Ongoing (Y/N)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Dose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Route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Subject ID &gt; Start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ADCM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ADCM = Concomitant Medications Analysis Dataset; PT = Preferred Term; WHODrug = WHO Drug Dictionary.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WHODrug Version: [vYYYY-MM].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16.3.1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Adverse Events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>
        <w:trPr>
          <w:tblHeader/>
        </w:trPr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Age/Sex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AE Preferred Term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System Organ Class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Start Date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End Date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Duration (days)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Severity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Relationship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Serious (Y/N)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Action Taken</w:t>
            </w:r>
          </w:p>
        </w:tc>
        <w:tc>
          <w:tcPr>
            <w:tcW w:type="dxa" w:w="1024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Outcome</w:t>
            </w:r>
          </w:p>
        </w:tc>
      </w:tr>
      <w:tr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024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 &gt; Start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Event; MedDRA = Medical Dictionary for Regulatory Activities.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MedDRA Version XX.X.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Severity: Mild, Moderate, Severe.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[c]</w:t>
      </w:r>
      <w:r>
        <w:rPr>
          <w:rFonts w:ascii="Courier New" w:cs="Courier New" w:eastAsia="Courier New" w:hAnsi="Courier New"/>
          <w:sz w:val="16"/>
          <w:szCs w:val="16"/>
        </w:rPr>
        <w:t xml:space="preserve"> Relationship: Not Related, Unlikely, Possible, Probable, Definite.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[d]</w:t>
      </w:r>
      <w:r>
        <w:rPr>
          <w:rFonts w:ascii="Courier New" w:cs="Courier New" w:eastAsia="Courier New" w:hAnsi="Courier New"/>
          <w:sz w:val="16"/>
          <w:szCs w:val="16"/>
        </w:rPr>
        <w:t xml:space="preserve"> Action: None, Dose Reduced, Drug Interrupted, Drug Withdrawn.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[e]</w:t>
      </w:r>
      <w:r>
        <w:rPr>
          <w:rFonts w:ascii="Courier New" w:cs="Courier New" w:eastAsia="Courier New" w:hAnsi="Courier New"/>
          <w:sz w:val="16"/>
          <w:szCs w:val="16"/>
        </w:rPr>
        <w:t xml:space="preserve"> Outcome: Recovered, Recovering, Not Recovered, Fatal, Unknown.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[f]</w:t>
      </w:r>
      <w:r>
        <w:rPr>
          <w:rFonts w:ascii="Courier New" w:cs="Courier New" w:eastAsia="Courier New" w:hAnsi="Courier New"/>
          <w:sz w:val="16"/>
          <w:szCs w:val="16"/>
        </w:rPr>
        <w:t xml:space="preserve"> Dates: DDMMMYYYY format.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[g]</w:t>
      </w:r>
      <w:r>
        <w:rPr>
          <w:rFonts w:ascii="Courier New" w:cs="Courier New" w:eastAsia="Courier New" w:hAnsi="Courier New"/>
          <w:sz w:val="16"/>
          <w:szCs w:val="16"/>
        </w:rPr>
        <w:t xml:space="preserve"> One row per AE.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16.3.2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Serious Adverse Events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</w:tblGrid>
      <w:tr>
        <w:trPr>
          <w:tblHeader/>
        </w:trPr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Age/Sex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AE Preferred Term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Start Date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End Date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Severity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Relationship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Seriousness Criteria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Action Taken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Outcome</w:t>
            </w:r>
          </w:p>
        </w:tc>
        <w:tc>
          <w:tcPr>
            <w:tcW w:type="dxa" w:w="111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Narrative Reference</w:t>
            </w:r>
          </w:p>
        </w:tc>
      </w:tr>
      <w:tr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11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 &gt; Start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Event; SAE = Serious Adverse Event.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Seriousness Criteria: Death, Life-threatening, Hospitalization, Disability, Congenital Anomaly, Other Medically Important.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Narrative Reference points to detailed SAE narrative in CSR Appendix 16.3.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16.3.3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Dose-Limiting Toxicities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DLT-Evaluable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65"/>
        <w:gridCol w:w="1665"/>
        <w:gridCol w:w="1665"/>
        <w:gridCol w:w="1665"/>
        <w:gridCol w:w="1665"/>
        <w:gridCol w:w="1665"/>
        <w:gridCol w:w="1665"/>
        <w:gridCol w:w="1665"/>
      </w:tblGrid>
      <w:tr>
        <w:trPr>
          <w:tblHeader/>
        </w:trPr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AE Preferred Term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Start Date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Severity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Relationship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Action Taken</w:t>
            </w:r>
          </w:p>
        </w:tc>
        <w:tc>
          <w:tcPr>
            <w:tcW w:type="dxa" w:w="1665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Outcome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665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 &gt; Start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AE = Adverse Event.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DLT-Evaluable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Includes AEs with action taken = 'Drug Withdrawn' or 'Drug Discontinued'.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16.3.4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Deaths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rPr>
          <w:tblHeader/>
        </w:trPr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Date of Death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Days from Last Dose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Primary Cause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Contributing Causes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On-Study (Y/N)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CEC Adjudication</w:t>
            </w:r>
          </w:p>
        </w:tc>
        <w:tc>
          <w:tcPr>
            <w:tcW w:type="dxa" w:w="1480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Narrative Reference</w:t>
            </w:r>
          </w:p>
        </w:tc>
      </w:tr>
      <w:tr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48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Treatment &gt; Subject ID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ADSL, ADAE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ADAE = Adverse Events Analysis Dataset; ADSL = Subject-Level Analysis Dataset; CEC = Clinical Events Committee.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CEC Adjudication included where CV deaths are CEC-adjudicated.</w:t>
      </w:r>
    </w:p>
    <w:p>
      <w:pPr>
        <w:pStyle w:val="Heading2"/>
        <w:pageBreakBefore/>
        <w:spacing w:after="40"/>
        <w:jc w:val="center"/>
      </w:pPr>
      <w:r>
        <w:rPr>
          <w:rFonts w:ascii="Courier New" w:cs="Courier New" w:eastAsia="Courier New" w:hAnsi="Courier New"/>
          <w:b/>
          <w:bCs/>
          <w:sz w:val="20"/>
          <w:szCs w:val="20"/>
        </w:rPr>
        <w:t xml:space="preserve">Listing 16.3.5</w:t>
      </w:r>
      <w:r>
        <w:rPr>
          <w:rFonts w:ascii="Courier New" w:cs="Courier New" w:eastAsia="Courier New" w:hAnsi="Courier New"/>
          <w:b/>
          <w:bCs/>
          <w:sz w:val="20"/>
          <w:szCs w:val="20"/>
        </w:rPr>
        <w:br/>
        <w:t xml:space="preserve">Listing of Clinically Significant Laboratory Abnormalities</w:t>
      </w:r>
    </w:p>
    <w:p>
      <w:pPr>
        <w:spacing w:after="200"/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Analysis Population: Safety Set</w:t>
      </w:r>
    </w:p>
    <w:tbl>
      <w:tblPr>
        <w:tblW w:type="dxa" w:w="133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/>
        </w:trPr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Subject ID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Treatment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Lab Parameter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Visit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Date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Value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Unit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Reference Range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Flag (H/L/A)</w:t>
            </w:r>
          </w:p>
        </w:tc>
        <w:tc>
          <w:tcPr>
            <w:tcW w:type="dxa" w:w="1332"/>
            <w:tcBorders>
              <w:top w:val="single" w:color="000000" w:sz="4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b/>
                <w:bCs/>
                <w:sz w:val="18"/>
                <w:szCs w:val="18"/>
              </w:rPr>
              <w:t xml:space="preserve">Clinical Significance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  <w:tr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  <w:tc>
          <w:tcPr>
            <w:tcW w:type="dxa" w:w="1332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xxx</w:t>
            </w:r>
          </w:p>
        </w:tc>
      </w:tr>
    </w:tbl>
    <w:p>
      <w:pPr>
        <w:spacing w:after="60" w:before="80"/>
      </w:pPr>
      <w:r>
        <w:rPr>
          <w:rFonts w:ascii="Courier New" w:cs="Courier New" w:eastAsia="Courier New" w:hAnsi="Courier New"/>
          <w:i/>
          <w:iCs/>
          <w:sz w:val="16"/>
          <w:szCs w:val="16"/>
        </w:rPr>
        <w:t xml:space="preserve">Sort order: Subject ID &gt; Lab Parameter &gt; Date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Source: ADLB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ADLB = Laboratory Analysis Dataset.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(%) = number and percentage of subjects.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</w:rPr>
        <w:t xml:space="preserve">N = Number of subjects in the Safety Set. Percentages are based on N unless otherwise noted.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[a]</w:t>
      </w:r>
      <w:r>
        <w:rPr>
          <w:rFonts w:ascii="Courier New" w:cs="Courier New" w:eastAsia="Courier New" w:hAnsi="Courier New"/>
          <w:sz w:val="16"/>
          <w:szCs w:val="16"/>
        </w:rPr>
        <w:t xml:space="preserve"> Flag: H = High, L = Low, A = Abnormal.</w:t>
      </w:r>
    </w:p>
    <w:p>
      <w:pPr>
        <w:spacing w:after="40"/>
      </w:pPr>
      <w:r>
        <w:rPr>
          <w:rFonts w:ascii="Courier New" w:cs="Courier New" w:eastAsia="Courier New" w:hAnsi="Courier New"/>
          <w:sz w:val="16"/>
          <w:szCs w:val="16"/>
          <w:vertAlign w:val="superscript"/>
        </w:rPr>
        <w:t xml:space="preserve">[b]</w:t>
      </w:r>
      <w:r>
        <w:rPr>
          <w:rFonts w:ascii="Courier New" w:cs="Courier New" w:eastAsia="Courier New" w:hAnsi="Courier New"/>
          <w:sz w:val="16"/>
          <w:szCs w:val="16"/>
        </w:rPr>
        <w:t xml:space="preserve"> Listed where flagged or marked clinically significant by investigator.</w:t>
      </w:r>
    </w:p>
    <w:sectPr>
      <w:headerReference w:type="default" r:id="rId7"/>
      <w:footerReference w:type="default" r:id="rId8"/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Courier New" w:cs="Courier New" w:eastAsia="Courier New" w:hAnsi="Courier New"/>
        <w:sz w:val="16"/>
        <w:szCs w:val="16"/>
      </w:rPr>
      <w:t xml:space="preserve">Program Name: xxxxx.sas   Dataset Used: xxx   Runtime ID: DDMMMYYYY HH:MM   Programmer Initials: AAAAA.BBBB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13680"/>
      </w:tabs>
    </w:pPr>
    <w:r>
      <w:rPr>
        <w:rFonts w:ascii="Courier New" w:cs="Courier New" w:eastAsia="Courier New" w:hAnsi="Courier New"/>
        <w:sz w:val="18"/>
        <w:szCs w:val="18"/>
      </w:rPr>
      <w:t xml:space="preserve">Corvexa Therapeutics, Inc. (fictional)</w:t>
    </w:r>
    <w:r>
      <w:rPr>
        <w:rFonts w:ascii="Courier New" w:cs="Courier New" w:eastAsia="Courier New" w:hAnsi="Courier New"/>
        <w:sz w:val="18"/>
        <w:szCs w:val="18"/>
      </w:rPr>
      <w:t xml:space="preserve">	</w:t>
    </w:r>
    <w:r>
      <w:rPr>
        <w:rFonts w:ascii="Courier New" w:cs="Courier New" w:eastAsia="Courier New" w:hAnsi="Courier New"/>
        <w:sz w:val="18"/>
        <w:szCs w:val="18"/>
      </w:rPr>
      <w:t xml:space="preserve">Page </w:t>
    </w:r>
    <w:r>
      <w:rPr>
        <w:rFonts w:ascii="Courier New" w:cs="Courier New" w:eastAsia="Courier New" w:hAnsi="Courier New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ourier New" w:cs="Courier New" w:eastAsia="Courier New" w:hAnsi="Courier New"/>
        <w:sz w:val="18"/>
        <w:szCs w:val="18"/>
      </w:rPr>
      <w:t xml:space="preserve"> of </w:t>
    </w:r>
    <w:r>
      <w:rPr>
        <w:rFonts w:ascii="Courier New" w:cs="Courier New" w:eastAsia="Courier New" w:hAnsi="Courier New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tabs>
        <w:tab w:val="right" w:pos="13680"/>
      </w:tabs>
    </w:pPr>
    <w:r>
      <w:rPr>
        <w:rFonts w:ascii="Courier New" w:cs="Courier New" w:eastAsia="Courier New" w:hAnsi="Courier New"/>
        <w:sz w:val="18"/>
        <w:szCs w:val="18"/>
      </w:rPr>
      <w:t xml:space="preserve">HF-1002-CL-101</w:t>
    </w:r>
    <w:r>
      <w:rPr>
        <w:rFonts w:ascii="Courier New" w:cs="Courier New" w:eastAsia="Courier New" w:hAnsi="Courier New"/>
        <w:sz w:val="18"/>
        <w:szCs w:val="18"/>
      </w:rPr>
      <w:t xml:space="preserve">	</w:t>
    </w:r>
    <w:r>
      <w:rPr>
        <w:rFonts w:ascii="Courier New" w:cs="Courier New" w:eastAsia="Courier New" w:hAnsi="Courier New"/>
        <w:sz w:val="18"/>
        <w:szCs w:val="18"/>
      </w:rPr>
      <w:t xml:space="preserve">&lt;Draft - Mock Shells (FICTIONAL)&gt;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cs="Courier New" w:eastAsia="Courier New" w:hAnsi="Courier New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Courier New" w:cs="Courier New" w:eastAsia="Courier New" w:hAnsi="Courier New"/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ourier New" w:cs="Courier New" w:eastAsia="Courier New" w:hAnsi="Courier New"/>
      <w:b/>
      <w:bCs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2026-06-07T01:46:23.741Z</dcterms:created>
  <dcterms:modified xsi:type="dcterms:W3CDTF">2026-06-07T01:46:23.741Z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