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Arial" w:cs="Arial" w:eastAsia="Arial" w:hAnsi="Arial"/>
          <w:b/>
          <w:bCs/>
          <w:color w:val="FF0000"/>
          <w:sz w:val="20"/>
          <w:szCs w:val="20"/>
        </w:rPr>
        <w:t xml:space="preserve">FICTIONAL DOCUMENT — FOR DEMONSTRATION AND TRAINING ONLY</w:t>
      </w:r>
    </w:p>
    <w:p>
      <w:pPr>
        <w:spacing w:after="240"/>
        <w:jc w:val="center"/>
      </w:pPr>
      <w:r>
        <w:rPr>
          <w:rFonts w:ascii="Arial" w:cs="Arial" w:eastAsia="Arial" w:hAnsi="Arial"/>
          <w:i/>
          <w:iCs/>
          <w:sz w:val="18"/>
          <w:szCs w:val="18"/>
        </w:rPr>
        <w:t xml:space="preserve">HF-1002, Corvexa Therapeutics, and all identifiers below are invented. Modeled on the published design of the AB-1002 first-in-human trial (Henry et al., Nat Med 2025; NCT04179643). Not a real study; not for clinical use; contains no confidential information.</w:t>
      </w:r>
    </w:p>
    <w:p>
      <w:pPr>
        <w:pStyle w:val="Title"/>
      </w:pPr>
      <w:r>
        <w:t xml:space="preserve">Clinical Study Protocol</w:t>
      </w:r>
    </w:p>
    <w:p>
      <w:pPr>
        <w:spacing w:before="240"/>
        <w:jc w:val="center"/>
      </w:pPr>
      <w:r>
        <w:rPr>
          <w:rFonts w:ascii="Arial" w:cs="Arial" w:eastAsia="Arial" w:hAnsi="Arial"/>
          <w:b/>
          <w:bCs/>
          <w:sz w:val="28"/>
          <w:szCs w:val="28"/>
        </w:rPr>
        <w:t xml:space="preserve">HF-1002-CL-101</w:t>
      </w:r>
    </w:p>
    <w:p>
      <w:pPr>
        <w:spacing w:before="160"/>
        <w:jc w:val="center"/>
      </w:pPr>
      <w:r>
        <w:rPr>
          <w:rFonts w:ascii="Arial" w:cs="Arial" w:eastAsia="Arial" w:hAnsi="Arial"/>
          <w:sz w:val="24"/>
          <w:szCs w:val="24"/>
        </w:rPr>
        <w:t xml:space="preserve">A Phase 1, Open-Label, Sequential Dose-Escalation Study to Evaluate the Safety, Tolerability, and Preliminary Efficacy of a Single Intracoronary Infusion of HF-1002 in Adults with Nonischemic Cardiomyopathy and NYHA Class III Heart Failure</w:t>
      </w:r>
    </w:p>
    <w:p>
      <w:pPr>
        <w:spacing w:before="240"/>
        <w:jc w:val="center"/>
      </w:pPr>
      <w:r>
        <w:rPr>
          <w:rFonts w:ascii="Arial" w:cs="Arial" w:eastAsia="Arial" w:hAnsi="Arial"/>
          <w:sz w:val="22"/>
          <w:szCs w:val="22"/>
        </w:rPr>
        <w:t xml:space="preserve">Sponsor: Corvexa Therapeutics, Inc. (fictional)</w:t>
      </w:r>
    </w:p>
    <w:p>
      <w:pPr>
        <w:spacing w:before="120"/>
        <w:jc w:val="center"/>
      </w:pPr>
      <w:r>
        <w:rPr>
          <w:rFonts w:ascii="Arial" w:cs="Arial" w:eastAsia="Arial" w:hAnsi="Arial"/>
          <w:sz w:val="22"/>
          <w:szCs w:val="22"/>
        </w:rPr>
        <w:t xml:space="preserve">Investigational Product: HF-1002</w:t>
      </w:r>
    </w:p>
    <w:p>
      <w:pPr>
        <w:spacing w:before="240"/>
        <w:jc w:val="center"/>
      </w:pPr>
      <w:r>
        <w:rPr>
          <w:rFonts w:ascii="Arial" w:cs="Arial" w:eastAsia="Arial" w:hAnsi="Arial"/>
          <w:i/>
          <w:iCs/>
        </w:rPr>
        <w:t xml:space="preserve">Version 1.0</w:t>
      </w:r>
    </w:p>
    <w:p>
      <w:pPr>
        <w:spacing w:after="240" w:before="120"/>
        <w:jc w:val="center"/>
      </w:pPr>
      <w:r>
        <w:rPr>
          <w:rFonts w:ascii="Arial" w:cs="Arial" w:eastAsia="Arial" w:hAnsi="Arial"/>
          <w:i/>
          <w:iCs/>
        </w:rPr>
        <w:t xml:space="preserve">Effective Date: 06-Jun-2026</w:t>
      </w:r>
    </w:p>
    <w:p>
      <w:pPr>
        <w:spacing w:after="480" w:before="120"/>
        <w:jc w:val="center"/>
      </w:pPr>
      <w:r>
        <w:rPr>
          <w:rFonts w:ascii="Arial" w:cs="Arial" w:eastAsia="Arial" w:hAnsi="Arial"/>
          <w:b/>
          <w:bCs/>
          <w:color w:val="FF0000"/>
          <w:sz w:val="24"/>
          <w:szCs w:val="24"/>
        </w:rPr>
        <w:t xml:space="preserve">CONFIDENTIAL</w:t>
      </w:r>
    </w:p>
    <w:p>
      <w:r>
        <w:br w:type="page"/>
      </w:r>
    </w:p>
    <w:p>
      <w:pPr>
        <w:pStyle w:val="Heading1"/>
      </w:pPr>
      <w:r>
        <w:rPr>
          <w:rFonts w:ascii="Arial" w:cs="Arial" w:eastAsia="Arial" w:hAnsi="Arial"/>
        </w:rPr>
        <w:t xml:space="preserve">Version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800"/>
        <w:gridCol w:w="2360"/>
        <w:gridCol w:w="4000"/>
      </w:tblGrid>
      <w:tr>
        <w:trPr>
          <w:tblHeader/>
        </w:trPr>
        <w:tc>
          <w:tcPr>
            <w:tcW w:type="dxa" w:w="12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Version</w:t>
            </w:r>
          </w:p>
        </w:tc>
        <w:tc>
          <w:tcPr>
            <w:tcW w:type="dxa" w:w="18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Date</w:t>
            </w:r>
          </w:p>
        </w:tc>
        <w:tc>
          <w:tcPr>
            <w:tcW w:type="dxa" w:w="23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Author</w:t>
            </w:r>
          </w:p>
        </w:tc>
        <w:tc>
          <w:tcPr>
            <w:tcW w:type="dxa" w:w="40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Description of Change</w:t>
            </w:r>
          </w:p>
        </w:tc>
      </w:tr>
      <w:tr>
        <w:tc>
          <w:tcPr>
            <w:tcW w:type="dxa" w:w="12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1.0</w:t>
            </w:r>
          </w:p>
        </w:tc>
        <w:tc>
          <w:tcPr>
            <w:tcW w:type="dxa" w:w="1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06-Jun-2026</w:t>
            </w:r>
          </w:p>
        </w:tc>
        <w:tc>
          <w:tcPr>
            <w:tcW w:type="dxa" w:w="23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Sponsor</w:t>
            </w:r>
          </w:p>
        </w:tc>
        <w:tc>
          <w:tcPr>
            <w:tcW w:type="dxa" w:w="4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Initial version</w:t>
            </w:r>
          </w:p>
        </w:tc>
      </w:tr>
    </w:tbl>
    <w:p>
      <w:pPr>
        <w:spacing w:after="200"/>
      </w:pPr>
    </w:p>
    <w:p>
      <w:pPr>
        <w:pStyle w:val="Heading1"/>
      </w:pPr>
      <w:r>
        <w:rPr>
          <w:rFonts w:ascii="Arial" w:cs="Arial" w:eastAsia="Arial" w:hAnsi="Arial"/>
        </w:rPr>
        <w:t xml:space="preserve">Approval Signatures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1880"/>
        <w:gridCol w:w="1880"/>
      </w:tblGrid>
      <w:tr>
        <w:trPr>
          <w:tblHeader/>
        </w:trPr>
        <w:tc>
          <w:tcPr>
            <w:tcW w:type="dxa" w:w="28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Role</w:t>
            </w:r>
          </w:p>
        </w:tc>
        <w:tc>
          <w:tcPr>
            <w:tcW w:type="dxa" w:w="28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Name</w:t>
            </w:r>
          </w:p>
        </w:tc>
        <w:tc>
          <w:tcPr>
            <w:tcW w:type="dxa" w:w="188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Signature</w:t>
            </w:r>
          </w:p>
        </w:tc>
        <w:tc>
          <w:tcPr>
            <w:tcW w:type="dxa" w:w="188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Date</w:t>
            </w:r>
          </w:p>
        </w:tc>
      </w:tr>
      <w:tr>
        <w:tc>
          <w:tcPr>
            <w:tcW w:type="dxa" w:w="2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Sponsor Medical Monitor</w:t>
            </w:r>
          </w:p>
        </w:tc>
        <w:tc>
          <w:tcPr>
            <w:tcW w:type="dxa" w:w="2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188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188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Coordinating Principal Investigator</w:t>
            </w:r>
          </w:p>
        </w:tc>
        <w:tc>
          <w:tcPr>
            <w:tcW w:type="dxa" w:w="2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188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188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Biostatistician</w:t>
            </w:r>
          </w:p>
        </w:tc>
        <w:tc>
          <w:tcPr>
            <w:tcW w:type="dxa" w:w="28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188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188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bl>
    <w:p>
      <w:r>
        <w:br w:type="page"/>
      </w:r>
    </w:p>
    <w:p>
      <w:pPr>
        <w:pStyle w:val="Heading1"/>
      </w:pPr>
      <w:r>
        <w:rPr>
          <w:rFonts w:ascii="Arial" w:cs="Arial" w:eastAsia="Arial" w:hAnsi="Arial"/>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rFonts w:ascii="Arial" w:cs="Arial" w:eastAsia="Arial" w:hAnsi="Arial"/>
        </w:rPr>
        <w:t xml:space="preserve">Protocol Synopsis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Item</w:t>
            </w:r>
          </w:p>
        </w:tc>
        <w:tc>
          <w:tcPr>
            <w:tcW w:type="dxa" w:w="67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Description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Title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 Phase 1, open-label, sequential dose-escalation study of a single intracoronary infusion of HF-1002 in adults with nonischemic cardiomyopathy and NYHA class III heart failure.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Phase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1</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Design</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Open-label, single-arm, multicenter, sequential dose-escalation (3 dose cohorts) with a DLT window through Week 4 and safety review between cohorts.</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Investigational product</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HF-1002, a recombinant cardiotropic AAV vector (engineered capsid rAAV-Cx) encoding a constitutively active inhibitor-1 of protein phosphatase 1 (cI-1) under a cardiac-selective promoter. Non-integrating. Single antegrade intracoronary infusion.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Indication</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Chronic nonischemic dilated cardiomyopathy, NYHA class III, LVEF 15-35%.</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Primary objective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Evaluate the safety and tolerability of a single intracoronary infusion of HF-1002 over a 12-month primary observation period.</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Secondary objective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Explore the preliminary efficacy of HF-1002 on cardiac function, functional capacity, and quality of life.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Primary endpoints</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Incidence, severity (CTCAE v5.0), and relatedness of TEAEs and SAEs; incidence of DLTs; clinically significant changes from baseline in clinical laboratory tests, vital signs, and 12-lead ECG through Month 12.</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Secondary endpoints</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Change from baseline to Months 3, 6, and 12 in NYHA class, LVEF (central reader), pVO2 (CPET), 6MWT distance, MLHFQ total score, and KCCQ overall summary score.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Sample size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Up to 18 evaluable participants (up to 6 per cohort). Feasibility-based; no formal sample size calculation.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Sites</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Up to 4 sites in the USA.</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Study duration</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12-month primary observation period per participant; long-term follow-up through Month 36.</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Statistical methods</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Descriptive only; no formal hypothesis testing. Summaries by cohort and overall on the Safety Set and Full Analysis Set.</w:t>
            </w:r>
          </w:p>
        </w:tc>
      </w:tr>
    </w:tbl>
    <w:p>
      <w:r>
        <w:br w:type="page"/>
      </w:r>
    </w:p>
    <w:p>
      <w:pPr>
        <w:pStyle w:val="Heading1"/>
      </w:pPr>
      <w:r>
        <w:rPr>
          <w:rFonts w:ascii="Arial" w:cs="Arial" w:eastAsia="Arial" w:hAnsi="Arial"/>
        </w:rPr>
        <w:t xml:space="preserve">List of Abbreviations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Abbreviation</w:t>
            </w:r>
          </w:p>
        </w:tc>
        <w:tc>
          <w:tcPr>
            <w:tcW w:type="dxa" w:w="67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Definition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6MWT</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6-minute walk test</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AAV</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adeno-associated virus</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ACE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angiotensin-converting enzyme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adverse event</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ALP</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alkaline phosphatase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ALT</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alanine aminotransferase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ARB</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angiotensin receptor blocker</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AST</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aspartate aminotransferase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BNP</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B-type natriuretic peptide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CPET</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cardiopulmonary exercise testing</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CTCAE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Common Terminology Criteria for Adverse Events</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DLT</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dose-limiting toxicity</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ECG</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electrocardiogram</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ELISpot</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enzyme-linked immunospot</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FAS</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Full Analysis Set</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GCP</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Good Clinical Practice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HF</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heart failure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ICH</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International Council for Harmonisation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IFNγ</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interferon gamma</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IRB</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Institutional Review Board</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KCCQ</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Kansas City Cardiomyopathy Questionnaire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LTFU</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long-term follow-up</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LV</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left ventricular / left ventricle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LVAD</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left ventricular assist device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LVEF</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left ventricular ejection fraction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MedDRA</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Medical Dictionary for Regulatory Activities</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MLHFQ</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Minnesota Living with Heart Failure Questionnaire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NAb</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neutralizing antibody</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NT-proBNP</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N-terminal pro-B-type natriuretic peptide</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NYHA</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New York Heart Association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PLN</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phospholamban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PP1</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protein phosphatase 1</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pVO2</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peak oxygen consumption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SAE</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serious adverse event</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SAP</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statistical analysis plan</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SGLT2</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sodium-glucose cotransporter 2</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SoA</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schedule of assessments</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ULN</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upper limit of normal</w:t>
            </w:r>
          </w:p>
        </w:tc>
      </w:tr>
      <w:tr>
        <w:tc>
          <w:tcPr>
            <w:tcW w:type="dxa" w:w="26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vg</w:t>
            </w:r>
          </w:p>
        </w:tc>
        <w:tc>
          <w:tcPr>
            <w:tcW w:type="dxa" w:w="67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vector genome(s)</w:t>
            </w:r>
          </w:p>
        </w:tc>
      </w:tr>
    </w:tbl>
    <w:p>
      <w:r>
        <w:br w:type="page"/>
      </w:r>
    </w:p>
    <w:p>
      <w:pPr>
        <w:pStyle w:val="Heading1"/>
        <w:numPr>
          <w:ilvl w:val="0"/>
          <w:numId w:val="2"/>
        </w:numPr>
      </w:pPr>
      <w:r>
        <w:rPr>
          <w:rFonts w:ascii="Arial" w:cs="Arial" w:eastAsia="Arial" w:hAnsi="Arial"/>
        </w:rPr>
        <w:t xml:space="preserve">Background and Rationale</w:t>
      </w:r>
    </w:p>
    <w:p>
      <w:pPr>
        <w:spacing w:after="120" w:line="276"/>
      </w:pPr>
      <w:r>
        <w:rPr>
          <w:rFonts w:ascii="Arial" w:cs="Arial" w:eastAsia="Arial" w:hAnsi="Arial"/>
          <w:sz w:val="22"/>
          <w:szCs w:val="22"/>
        </w:rPr>
        <w:t xml:space="preserve">Heart failure with reduced ejection fraction remains a progressive and lethal condition despite guideline-directed medical therapy, and a substantial proportion of patients with nonischemic cardiomyopathy continue to deteriorate. Impaired sarcoplasmic reticulum calcium reuptake, driven in part by increased protein phosphatase 1 (PP1) activity and reduced phospholamban (PLN) phosphorylation, is a recognized contributor to depressed contractility in the failing heart.</w:t>
      </w:r>
    </w:p>
    <w:p>
      <w:pPr>
        <w:spacing w:after="120" w:line="276"/>
      </w:pPr>
      <w:r>
        <w:rPr>
          <w:rFonts w:ascii="Arial" w:cs="Arial" w:eastAsia="Arial" w:hAnsi="Arial"/>
          <w:sz w:val="22"/>
          <w:szCs w:val="22"/>
        </w:rPr>
        <w:t xml:space="preserve">HF-1002 is an investigational gene therapy comprising an engineered cardiotropic adeno-associated viral capsid (rAAV-Cx) delivering a constitutively active inhibitor-1 of PP1 (cI-1) under a cardiac-selective promoter. By inhibiting PP1, cI-1 is intended to restore PLN phosphorylation and sarcoplasmic reticulum calcium handling, thereby improving contractility and relaxation. The transgene is non-integrating. Preclinical large-animal studies (summarized in the Investigator's Brochure) demonstrated myocardial transduction and improvement in hemodynamic function following antegrade intracoronary delivery, supporting this first-in-human evaluation.</w:t>
      </w:r>
    </w:p>
    <w:p>
      <w:pPr>
        <w:spacing w:after="120" w:line="276"/>
      </w:pPr>
      <w:r>
        <w:rPr>
          <w:rFonts w:ascii="Arial" w:cs="Arial" w:eastAsia="Arial" w:hAnsi="Arial"/>
          <w:sz w:val="22"/>
          <w:szCs w:val="22"/>
        </w:rPr>
        <w:t xml:space="preserve">This Phase 1 study is designed to characterize the safety and tolerability of a single intracoronary infusion of HF-1002 across escalating doses and to obtain preliminary signals of biologic activity to inform dose selection for future studies.</w:t>
      </w:r>
    </w:p>
    <w:p>
      <w:pPr>
        <w:pStyle w:val="Heading1"/>
        <w:numPr>
          <w:ilvl w:val="0"/>
          <w:numId w:val="2"/>
        </w:numPr>
      </w:pPr>
      <w:r>
        <w:rPr>
          <w:rFonts w:ascii="Arial" w:cs="Arial" w:eastAsia="Arial" w:hAnsi="Arial"/>
        </w:rPr>
        <w:t xml:space="preserve">Objectives and Endpoints</w:t>
      </w:r>
    </w:p>
    <w:p>
      <w:pPr>
        <w:pStyle w:val="Heading2"/>
        <w:numPr>
          <w:ilvl w:val="1"/>
          <w:numId w:val="2"/>
        </w:numPr>
      </w:pPr>
      <w:r>
        <w:rPr>
          <w:rFonts w:ascii="Arial" w:cs="Arial" w:eastAsia="Arial" w:hAnsi="Arial"/>
        </w:rPr>
        <w:t xml:space="preserve">Primary</w:t>
      </w:r>
    </w:p>
    <w:p>
      <w:pPr>
        <w:spacing w:after="120" w:line="276"/>
      </w:pPr>
      <w:r>
        <w:rPr>
          <w:rFonts w:ascii="Arial" w:cs="Arial" w:eastAsia="Arial" w:hAnsi="Arial"/>
          <w:sz w:val="22"/>
          <w:szCs w:val="22"/>
        </w:rPr>
        <w:t xml:space="preserve">Objective: Evaluate the safety and tolerability of a single intracoronary infusion of HF-1002 over 12 months.</w:t>
      </w:r>
    </w:p>
    <w:p>
      <w:pPr>
        <w:pStyle w:val="ListParagraph"/>
        <w:numPr>
          <w:ilvl w:val="0"/>
          <w:numId w:val="3"/>
        </w:numPr>
        <w:spacing w:after="60" w:line="276"/>
      </w:pPr>
      <w:r>
        <w:rPr>
          <w:rFonts w:ascii="Arial" w:cs="Arial" w:eastAsia="Arial" w:hAnsi="Arial"/>
          <w:sz w:val="22"/>
          <w:szCs w:val="22"/>
        </w:rPr>
        <w:t xml:space="preserve">Incidence, severity (CTCAE v5.0), and investigator-assessed relatedness of TEAEs and SAEs through Month 12.</w:t>
      </w:r>
    </w:p>
    <w:p>
      <w:pPr>
        <w:pStyle w:val="ListParagraph"/>
        <w:numPr>
          <w:ilvl w:val="0"/>
          <w:numId w:val="3"/>
        </w:numPr>
        <w:spacing w:after="60" w:line="276"/>
      </w:pPr>
      <w:r>
        <w:rPr>
          <w:rFonts w:ascii="Arial" w:cs="Arial" w:eastAsia="Arial" w:hAnsi="Arial"/>
          <w:sz w:val="22"/>
          <w:szCs w:val="22"/>
        </w:rPr>
        <w:t xml:space="preserve">Incidence of protocol-defined DLTs through the DLT window (Week 4).</w:t>
      </w:r>
    </w:p>
    <w:p>
      <w:pPr>
        <w:pStyle w:val="ListParagraph"/>
        <w:numPr>
          <w:ilvl w:val="0"/>
          <w:numId w:val="3"/>
        </w:numPr>
        <w:spacing w:after="60" w:line="276"/>
      </w:pPr>
      <w:r>
        <w:rPr>
          <w:rFonts w:ascii="Arial" w:cs="Arial" w:eastAsia="Arial" w:hAnsi="Arial"/>
          <w:sz w:val="22"/>
          <w:szCs w:val="22"/>
        </w:rPr>
        <w:t xml:space="preserve">Clinically significant changes from baseline in clinical laboratory parameters, vital signs, and 12-lead ECG through Month 12.</w:t>
      </w:r>
    </w:p>
    <w:p>
      <w:pPr>
        <w:pStyle w:val="Heading2"/>
        <w:numPr>
          <w:ilvl w:val="1"/>
          <w:numId w:val="2"/>
        </w:numPr>
      </w:pPr>
      <w:r>
        <w:rPr>
          <w:rFonts w:ascii="Arial" w:cs="Arial" w:eastAsia="Arial" w:hAnsi="Arial"/>
        </w:rPr>
        <w:t xml:space="preserve">Secondary</w:t>
      </w:r>
    </w:p>
    <w:p>
      <w:pPr>
        <w:spacing w:after="120" w:line="276"/>
      </w:pPr>
      <w:r>
        <w:rPr>
          <w:rFonts w:ascii="Arial" w:cs="Arial" w:eastAsia="Arial" w:hAnsi="Arial"/>
          <w:sz w:val="22"/>
          <w:szCs w:val="22"/>
        </w:rPr>
        <w:t xml:space="preserve">Objective: Explore preliminary efficacy on cardiac function, functional capacity, and quality of life. Endpoints are change from baseline to Months 3, 6, and 12 in:</w:t>
      </w:r>
    </w:p>
    <w:p>
      <w:pPr>
        <w:pStyle w:val="ListParagraph"/>
        <w:numPr>
          <w:ilvl w:val="0"/>
          <w:numId w:val="3"/>
        </w:numPr>
        <w:spacing w:after="60" w:line="276"/>
      </w:pPr>
      <w:r>
        <w:rPr>
          <w:rFonts w:ascii="Arial" w:cs="Arial" w:eastAsia="Arial" w:hAnsi="Arial"/>
          <w:sz w:val="22"/>
          <w:szCs w:val="22"/>
        </w:rPr>
        <w:t xml:space="preserve">NYHA functional class.</w:t>
      </w:r>
    </w:p>
    <w:p>
      <w:pPr>
        <w:pStyle w:val="ListParagraph"/>
        <w:numPr>
          <w:ilvl w:val="0"/>
          <w:numId w:val="3"/>
        </w:numPr>
        <w:spacing w:after="60" w:line="276"/>
      </w:pPr>
      <w:r>
        <w:rPr>
          <w:rFonts w:ascii="Arial" w:cs="Arial" w:eastAsia="Arial" w:hAnsi="Arial"/>
          <w:sz w:val="22"/>
          <w:szCs w:val="22"/>
        </w:rPr>
        <w:t xml:space="preserve">LVEF as assessed by a central echocardiography reader.</w:t>
      </w:r>
    </w:p>
    <w:p>
      <w:pPr>
        <w:pStyle w:val="ListParagraph"/>
        <w:numPr>
          <w:ilvl w:val="0"/>
          <w:numId w:val="3"/>
        </w:numPr>
        <w:spacing w:after="60" w:line="276"/>
      </w:pPr>
      <w:r>
        <w:rPr>
          <w:rFonts w:ascii="Arial" w:cs="Arial" w:eastAsia="Arial" w:hAnsi="Arial"/>
          <w:sz w:val="22"/>
          <w:szCs w:val="22"/>
        </w:rPr>
        <w:t xml:space="preserve">Peak oxygen consumption (pVO2) by cardiopulmonary exercise testing.</w:t>
      </w:r>
    </w:p>
    <w:p>
      <w:pPr>
        <w:pStyle w:val="ListParagraph"/>
        <w:numPr>
          <w:ilvl w:val="0"/>
          <w:numId w:val="3"/>
        </w:numPr>
        <w:spacing w:after="60" w:line="276"/>
      </w:pPr>
      <w:r>
        <w:rPr>
          <w:rFonts w:ascii="Arial" w:cs="Arial" w:eastAsia="Arial" w:hAnsi="Arial"/>
          <w:sz w:val="22"/>
          <w:szCs w:val="22"/>
        </w:rPr>
        <w:t xml:space="preserve">6-minute walk test distance.</w:t>
      </w:r>
    </w:p>
    <w:p>
      <w:pPr>
        <w:pStyle w:val="ListParagraph"/>
        <w:numPr>
          <w:ilvl w:val="0"/>
          <w:numId w:val="3"/>
        </w:numPr>
        <w:spacing w:after="60" w:line="276"/>
      </w:pPr>
      <w:r>
        <w:rPr>
          <w:rFonts w:ascii="Arial" w:cs="Arial" w:eastAsia="Arial" w:hAnsi="Arial"/>
          <w:sz w:val="22"/>
          <w:szCs w:val="22"/>
        </w:rPr>
        <w:t xml:space="preserve">MLHFQ total score (lower = better).</w:t>
      </w:r>
    </w:p>
    <w:p>
      <w:pPr>
        <w:pStyle w:val="ListParagraph"/>
        <w:numPr>
          <w:ilvl w:val="0"/>
          <w:numId w:val="3"/>
        </w:numPr>
        <w:spacing w:after="60" w:line="276"/>
      </w:pPr>
      <w:r>
        <w:rPr>
          <w:rFonts w:ascii="Arial" w:cs="Arial" w:eastAsia="Arial" w:hAnsi="Arial"/>
          <w:sz w:val="22"/>
          <w:szCs w:val="22"/>
        </w:rPr>
        <w:t xml:space="preserve">KCCQ overall summary score (higher = better).</w:t>
      </w:r>
    </w:p>
    <w:p>
      <w:pPr>
        <w:pStyle w:val="Heading2"/>
        <w:numPr>
          <w:ilvl w:val="1"/>
          <w:numId w:val="2"/>
        </w:numPr>
      </w:pPr>
      <w:r>
        <w:rPr>
          <w:rFonts w:ascii="Arial" w:cs="Arial" w:eastAsia="Arial" w:hAnsi="Arial"/>
        </w:rPr>
        <w:t xml:space="preserve">Exploratory</w:t>
      </w:r>
    </w:p>
    <w:p>
      <w:pPr>
        <w:pStyle w:val="ListParagraph"/>
        <w:numPr>
          <w:ilvl w:val="0"/>
          <w:numId w:val="3"/>
        </w:numPr>
        <w:spacing w:after="60" w:line="276"/>
      </w:pPr>
      <w:r>
        <w:rPr>
          <w:rFonts w:ascii="Arial" w:cs="Arial" w:eastAsia="Arial" w:hAnsi="Arial"/>
          <w:sz w:val="22"/>
          <w:szCs w:val="22"/>
        </w:rPr>
        <w:t xml:space="preserve">Change from baseline in NT-proBNP/BNP and troponin I.</w:t>
      </w:r>
    </w:p>
    <w:p>
      <w:pPr>
        <w:pStyle w:val="ListParagraph"/>
        <w:numPr>
          <w:ilvl w:val="0"/>
          <w:numId w:val="3"/>
        </w:numPr>
        <w:spacing w:after="60" w:line="276"/>
      </w:pPr>
      <w:r>
        <w:rPr>
          <w:rFonts w:ascii="Arial" w:cs="Arial" w:eastAsia="Arial" w:hAnsi="Arial"/>
          <w:sz w:val="22"/>
          <w:szCs w:val="22"/>
        </w:rPr>
        <w:t xml:space="preserve">Change from baseline in complement C3 and C4.</w:t>
      </w:r>
    </w:p>
    <w:p>
      <w:pPr>
        <w:pStyle w:val="ListParagraph"/>
        <w:numPr>
          <w:ilvl w:val="0"/>
          <w:numId w:val="3"/>
        </w:numPr>
        <w:spacing w:after="60" w:line="276"/>
      </w:pPr>
      <w:r>
        <w:rPr>
          <w:rFonts w:ascii="Arial" w:cs="Arial" w:eastAsia="Arial" w:hAnsi="Arial"/>
          <w:sz w:val="22"/>
          <w:szCs w:val="22"/>
        </w:rPr>
        <w:t xml:space="preserve">Anti-AAV neutralizing antibody titers over time.</w:t>
      </w:r>
    </w:p>
    <w:p>
      <w:pPr>
        <w:pStyle w:val="ListParagraph"/>
        <w:numPr>
          <w:ilvl w:val="0"/>
          <w:numId w:val="3"/>
        </w:numPr>
        <w:spacing w:after="60" w:line="276"/>
      </w:pPr>
      <w:r>
        <w:rPr>
          <w:rFonts w:ascii="Arial" w:cs="Arial" w:eastAsia="Arial" w:hAnsi="Arial"/>
          <w:sz w:val="22"/>
          <w:szCs w:val="22"/>
        </w:rPr>
        <w:t xml:space="preserve">IFNγ ELISpot responses to the rAAV-Cx capsid and to the cI-1 transgene over time.</w:t>
      </w:r>
    </w:p>
    <w:p>
      <w:pPr>
        <w:pStyle w:val="ListParagraph"/>
        <w:numPr>
          <w:ilvl w:val="0"/>
          <w:numId w:val="3"/>
        </w:numPr>
        <w:spacing w:after="60" w:line="276"/>
      </w:pPr>
      <w:r>
        <w:rPr>
          <w:rFonts w:ascii="Arial" w:cs="Arial" w:eastAsia="Arial" w:hAnsi="Arial"/>
          <w:sz w:val="22"/>
          <w:szCs w:val="22"/>
        </w:rPr>
        <w:t xml:space="preserve">In participants who provide optional cardiac tissue: myocardial vector genome copies per diploid genome and PLN Ser16 phosphorylation.</w:t>
      </w:r>
    </w:p>
    <w:p>
      <w:pPr>
        <w:pStyle w:val="Heading1"/>
        <w:numPr>
          <w:ilvl w:val="0"/>
          <w:numId w:val="2"/>
        </w:numPr>
      </w:pPr>
      <w:r>
        <w:rPr>
          <w:rFonts w:ascii="Arial" w:cs="Arial" w:eastAsia="Arial" w:hAnsi="Arial"/>
        </w:rPr>
        <w:t xml:space="preserve">Study Design</w:t>
      </w:r>
    </w:p>
    <w:p>
      <w:pPr>
        <w:spacing w:after="120" w:line="276"/>
      </w:pPr>
      <w:r>
        <w:rPr>
          <w:rFonts w:ascii="Arial" w:cs="Arial" w:eastAsia="Arial" w:hAnsi="Arial"/>
          <w:sz w:val="22"/>
          <w:szCs w:val="22"/>
        </w:rPr>
        <w:t xml:space="preserve">This is a Phase 1, prospective, multicenter, open-label, single-arm, sequential dose-escalation study of a single antegrade intracoronary infusion of HF-1002 in adults with nonischemic cardiomyopathy and NYHA class III heart failure. Three dose cohorts are enrolled sequentially. Each participant is followed for a 12-month primary observation period, after which they enter long-term follow-up through Month 36 (telephone contact every 6 months). Three dose levels are planned: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4000"/>
        <w:gridCol w:w="2960"/>
      </w:tblGrid>
      <w:tr>
        <w:trPr>
          <w:tblHeader/>
        </w:trPr>
        <w:tc>
          <w:tcPr>
            <w:tcW w:type="dxa" w:w="24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Cohort</w:t>
            </w:r>
          </w:p>
        </w:tc>
        <w:tc>
          <w:tcPr>
            <w:tcW w:type="dxa" w:w="400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Dose (vg)</w:t>
            </w:r>
          </w:p>
        </w:tc>
        <w:tc>
          <w:tcPr>
            <w:tcW w:type="dxa" w:w="29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Planned n</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1 (low)</w:t>
            </w:r>
          </w:p>
        </w:tc>
        <w:tc>
          <w:tcPr>
            <w:tcW w:type="dxa" w:w="4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3.0 x 10^13</w:t>
            </w:r>
          </w:p>
        </w:tc>
        <w:tc>
          <w:tcPr>
            <w:tcW w:type="dxa" w:w="2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3 (expandable to 6)</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2 (mid)</w:t>
            </w:r>
          </w:p>
        </w:tc>
        <w:tc>
          <w:tcPr>
            <w:tcW w:type="dxa" w:w="4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1.0 x 10^14</w:t>
            </w:r>
          </w:p>
        </w:tc>
        <w:tc>
          <w:tcPr>
            <w:tcW w:type="dxa" w:w="2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up to 6</w:t>
            </w:r>
          </w:p>
        </w:tc>
      </w:tr>
      <w:tr>
        <w:tc>
          <w:tcPr>
            <w:tcW w:type="dxa" w:w="24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3 (high)</w:t>
            </w:r>
          </w:p>
        </w:tc>
        <w:tc>
          <w:tcPr>
            <w:tcW w:type="dxa" w:w="400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3.0 x 10^14</w:t>
            </w:r>
          </w:p>
        </w:tc>
        <w:tc>
          <w:tcPr>
            <w:tcW w:type="dxa" w:w="29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up to 6</w:t>
            </w:r>
          </w:p>
        </w:tc>
      </w:tr>
    </w:tbl>
    <w:p>
      <w:pPr>
        <w:spacing w:after="120"/>
      </w:pPr>
    </w:p>
    <w:p>
      <w:pPr>
        <w:spacing w:after="120" w:line="276"/>
      </w:pPr>
      <w:r>
        <w:rPr>
          <w:rFonts w:ascii="Arial" w:cs="Arial" w:eastAsia="Arial" w:hAnsi="Arial"/>
          <w:sz w:val="22"/>
          <w:szCs w:val="22"/>
        </w:rPr>
        <w:t xml:space="preserve">Dose escalation proceeds only after review of cumulative safety data through the DLT window by the Safety Review Committee. Cohort 1 enrolls 3 participants; if 1 of 3 experiences a DLT, the cohort is expanded to 6. Escalation to the next dose level requires that no more than 1 of up to 6 participants in the current cohort experiences a DLT. If 2 or more participants in a cohort experience a DLT, enrollment is paused and escalation halted pending Committee review. The Sponsor may expand any cohort up to 6 participants in lieu of escalation. Up to 18 evaluable participants will be enrolled.</w:t>
      </w:r>
    </w:p>
    <w:p>
      <w:pPr>
        <w:pStyle w:val="Heading1"/>
        <w:numPr>
          <w:ilvl w:val="0"/>
          <w:numId w:val="2"/>
        </w:numPr>
      </w:pPr>
      <w:r>
        <w:rPr>
          <w:rFonts w:ascii="Arial" w:cs="Arial" w:eastAsia="Arial" w:hAnsi="Arial"/>
        </w:rPr>
        <w:t xml:space="preserve">Study Population</w:t>
      </w:r>
    </w:p>
    <w:p>
      <w:pPr>
        <w:pStyle w:val="Heading2"/>
        <w:numPr>
          <w:ilvl w:val="1"/>
          <w:numId w:val="2"/>
        </w:numPr>
      </w:pPr>
      <w:r>
        <w:rPr>
          <w:rFonts w:ascii="Arial" w:cs="Arial" w:eastAsia="Arial" w:hAnsi="Arial"/>
        </w:rPr>
        <w:t xml:space="preserve">Key Inclusion Criteria</w:t>
      </w:r>
    </w:p>
    <w:p>
      <w:pPr>
        <w:pStyle w:val="ListParagraph"/>
        <w:numPr>
          <w:ilvl w:val="0"/>
          <w:numId w:val="3"/>
        </w:numPr>
        <w:spacing w:after="60" w:line="276"/>
      </w:pPr>
      <w:r>
        <w:rPr>
          <w:rFonts w:ascii="Arial" w:cs="Arial" w:eastAsia="Arial" w:hAnsi="Arial"/>
          <w:sz w:val="22"/>
          <w:szCs w:val="22"/>
        </w:rPr>
        <w:t xml:space="preserve">Adults at least 18 years of age.</w:t>
      </w:r>
    </w:p>
    <w:p>
      <w:pPr>
        <w:pStyle w:val="ListParagraph"/>
        <w:numPr>
          <w:ilvl w:val="0"/>
          <w:numId w:val="3"/>
        </w:numPr>
        <w:spacing w:after="60" w:line="276"/>
      </w:pPr>
      <w:r>
        <w:rPr>
          <w:rFonts w:ascii="Arial" w:cs="Arial" w:eastAsia="Arial" w:hAnsi="Arial"/>
          <w:sz w:val="22"/>
          <w:szCs w:val="22"/>
        </w:rPr>
        <w:t xml:space="preserve">Chronic nonischemic dilated cardiomyopathy with LVEF 15-35% (inclusive) by transthoracic echocardiography within 6 months before enrollment.</w:t>
      </w:r>
    </w:p>
    <w:p>
      <w:pPr>
        <w:pStyle w:val="ListParagraph"/>
        <w:numPr>
          <w:ilvl w:val="0"/>
          <w:numId w:val="3"/>
        </w:numPr>
        <w:spacing w:after="60" w:line="276"/>
      </w:pPr>
      <w:r>
        <w:rPr>
          <w:rFonts w:ascii="Arial" w:cs="Arial" w:eastAsia="Arial" w:hAnsi="Arial"/>
          <w:sz w:val="22"/>
          <w:szCs w:val="22"/>
        </w:rPr>
        <w:t xml:space="preserve">NYHA class III symptoms for at least 1 month despite stable, optimized guideline-directed medical therapy (which may include a beta-blocker, ACE inhibitor/ARB or sacubitril-valsartan, mineralocorticoid receptor antagonist, SGLT2 inhibitor, and/or cardiac resynchronization therapy).</w:t>
      </w:r>
    </w:p>
    <w:p>
      <w:pPr>
        <w:pStyle w:val="ListParagraph"/>
        <w:numPr>
          <w:ilvl w:val="0"/>
          <w:numId w:val="3"/>
        </w:numPr>
        <w:spacing w:after="60" w:line="276"/>
      </w:pPr>
      <w:r>
        <w:rPr>
          <w:rFonts w:ascii="Arial" w:cs="Arial" w:eastAsia="Arial" w:hAnsi="Arial"/>
          <w:sz w:val="22"/>
          <w:szCs w:val="22"/>
        </w:rPr>
        <w:t xml:space="preserve">Anti-AAV NAb titer at or below 1:5 within 6 months before infusion.</w:t>
      </w:r>
    </w:p>
    <w:p>
      <w:pPr>
        <w:pStyle w:val="ListParagraph"/>
        <w:numPr>
          <w:ilvl w:val="0"/>
          <w:numId w:val="3"/>
        </w:numPr>
        <w:spacing w:after="60" w:line="276"/>
      </w:pPr>
      <w:r>
        <w:rPr>
          <w:rFonts w:ascii="Arial" w:cs="Arial" w:eastAsia="Arial" w:hAnsi="Arial"/>
          <w:sz w:val="22"/>
          <w:szCs w:val="22"/>
        </w:rPr>
        <w:t xml:space="preserve">Willing and able to provide written informed consent and to use acceptable contraception (if of reproductive potential) through 6 months after infusion.</w:t>
      </w:r>
    </w:p>
    <w:p>
      <w:pPr>
        <w:pStyle w:val="Heading2"/>
        <w:numPr>
          <w:ilvl w:val="1"/>
          <w:numId w:val="2"/>
        </w:numPr>
      </w:pPr>
      <w:r>
        <w:rPr>
          <w:rFonts w:ascii="Arial" w:cs="Arial" w:eastAsia="Arial" w:hAnsi="Arial"/>
        </w:rPr>
        <w:t xml:space="preserve">Key Exclusion Criteria</w:t>
      </w:r>
    </w:p>
    <w:p>
      <w:pPr>
        <w:pStyle w:val="ListParagraph"/>
        <w:numPr>
          <w:ilvl w:val="0"/>
          <w:numId w:val="3"/>
        </w:numPr>
        <w:spacing w:after="60" w:line="276"/>
      </w:pPr>
      <w:r>
        <w:rPr>
          <w:rFonts w:ascii="Arial" w:cs="Arial" w:eastAsia="Arial" w:hAnsi="Arial"/>
          <w:sz w:val="22"/>
          <w:szCs w:val="22"/>
        </w:rPr>
        <w:t xml:space="preserve">Ischemic, hypertrophic, infiltrative, inflammatory, or restrictive cardiomyopathy; uncorrected third-degree heart block.</w:t>
      </w:r>
    </w:p>
    <w:p>
      <w:pPr>
        <w:pStyle w:val="ListParagraph"/>
        <w:numPr>
          <w:ilvl w:val="0"/>
          <w:numId w:val="3"/>
        </w:numPr>
        <w:spacing w:after="60" w:line="276"/>
      </w:pPr>
      <w:r>
        <w:rPr>
          <w:rFonts w:ascii="Arial" w:cs="Arial" w:eastAsia="Arial" w:hAnsi="Arial"/>
          <w:sz w:val="22"/>
          <w:szCs w:val="22"/>
        </w:rPr>
        <w:t xml:space="preserve">Intravenous inotropes, intra-aortic balloon pump, or other percutaneous mechanical circulatory support within 30 days before enrollment.</w:t>
      </w:r>
    </w:p>
    <w:p>
      <w:pPr>
        <w:pStyle w:val="ListParagraph"/>
        <w:numPr>
          <w:ilvl w:val="0"/>
          <w:numId w:val="3"/>
        </w:numPr>
        <w:spacing w:after="60" w:line="276"/>
      </w:pPr>
      <w:r>
        <w:rPr>
          <w:rFonts w:ascii="Arial" w:cs="Arial" w:eastAsia="Arial" w:hAnsi="Arial"/>
          <w:sz w:val="22"/>
          <w:szCs w:val="22"/>
        </w:rPr>
        <w:t xml:space="preserve">Cardiac surgery or percutaneous coronary intervention within 30 days; dialysis dependence or serum creatinine greater than 2.5 mg/dL.</w:t>
      </w:r>
    </w:p>
    <w:p>
      <w:pPr>
        <w:pStyle w:val="ListParagraph"/>
        <w:numPr>
          <w:ilvl w:val="0"/>
          <w:numId w:val="3"/>
        </w:numPr>
        <w:spacing w:after="60" w:line="276"/>
      </w:pPr>
      <w:r>
        <w:rPr>
          <w:rFonts w:ascii="Arial" w:cs="Arial" w:eastAsia="Arial" w:hAnsi="Arial"/>
          <w:sz w:val="22"/>
          <w:szCs w:val="22"/>
        </w:rPr>
        <w:t xml:space="preserve">Clinically relevant myocardial infarction within 6 months; prior heart transplant, LV reduction surgery, or surgically implanted LV assist device.</w:t>
      </w:r>
    </w:p>
    <w:p>
      <w:pPr>
        <w:pStyle w:val="ListParagraph"/>
        <w:numPr>
          <w:ilvl w:val="0"/>
          <w:numId w:val="3"/>
        </w:numPr>
        <w:spacing w:after="60" w:line="276"/>
      </w:pPr>
      <w:r>
        <w:rPr>
          <w:rFonts w:ascii="Arial" w:cs="Arial" w:eastAsia="Arial" w:hAnsi="Arial"/>
          <w:sz w:val="22"/>
          <w:szCs w:val="22"/>
        </w:rPr>
        <w:t xml:space="preserve">Anticipated cardiac resynchronization therapy, revascularization, transplant, or valve repair/replacement within 3 months of dosing.</w:t>
      </w:r>
    </w:p>
    <w:p>
      <w:pPr>
        <w:pStyle w:val="ListParagraph"/>
        <w:numPr>
          <w:ilvl w:val="0"/>
          <w:numId w:val="3"/>
        </w:numPr>
        <w:spacing w:after="60" w:line="276"/>
      </w:pPr>
      <w:r>
        <w:rPr>
          <w:rFonts w:ascii="Arial" w:cs="Arial" w:eastAsia="Arial" w:hAnsi="Arial"/>
          <w:sz w:val="22"/>
          <w:szCs w:val="22"/>
        </w:rPr>
        <w:t xml:space="preserve">Known intrinsic liver disease or liver function tests greater than 2x the upper limit of normal.</w:t>
      </w:r>
    </w:p>
    <w:p>
      <w:pPr>
        <w:pStyle w:val="ListParagraph"/>
        <w:numPr>
          <w:ilvl w:val="0"/>
          <w:numId w:val="3"/>
        </w:numPr>
        <w:spacing w:after="60" w:line="276"/>
      </w:pPr>
      <w:r>
        <w:rPr>
          <w:rFonts w:ascii="Arial" w:cs="Arial" w:eastAsia="Arial" w:hAnsi="Arial"/>
          <w:sz w:val="22"/>
          <w:szCs w:val="22"/>
        </w:rPr>
        <w:t xml:space="preserve">Anemia, neutropenia, thrombocytopenia, or bleeding diathesis; active or suspected infection within 48 hours before enrollment.</w:t>
      </w:r>
    </w:p>
    <w:p>
      <w:pPr>
        <w:pStyle w:val="ListParagraph"/>
        <w:numPr>
          <w:ilvl w:val="0"/>
          <w:numId w:val="3"/>
        </w:numPr>
        <w:spacing w:after="60" w:line="276"/>
      </w:pPr>
      <w:r>
        <w:rPr>
          <w:rFonts w:ascii="Arial" w:cs="Arial" w:eastAsia="Arial" w:hAnsi="Arial"/>
          <w:sz w:val="22"/>
          <w:szCs w:val="22"/>
        </w:rPr>
        <w:t xml:space="preserve">Malignancy within 5 years (except those with negligible risk of metastasis or death).</w:t>
      </w:r>
    </w:p>
    <w:p>
      <w:pPr>
        <w:pStyle w:val="ListParagraph"/>
        <w:numPr>
          <w:ilvl w:val="0"/>
          <w:numId w:val="3"/>
        </w:numPr>
        <w:spacing w:after="60" w:line="276"/>
      </w:pPr>
      <w:r>
        <w:rPr>
          <w:rFonts w:ascii="Arial" w:cs="Arial" w:eastAsia="Arial" w:hAnsi="Arial"/>
          <w:sz w:val="22"/>
          <w:szCs w:val="22"/>
        </w:rPr>
        <w:t xml:space="preserve">Pregnancy or breastfeeding; prior gene therapy; receipt of another investigational agent within 30 days.</w:t>
      </w:r>
    </w:p>
    <w:p>
      <w:pPr>
        <w:pStyle w:val="Heading1"/>
        <w:numPr>
          <w:ilvl w:val="0"/>
          <w:numId w:val="2"/>
        </w:numPr>
      </w:pPr>
      <w:r>
        <w:rPr>
          <w:rFonts w:ascii="Arial" w:cs="Arial" w:eastAsia="Arial" w:hAnsi="Arial"/>
        </w:rPr>
        <w:t xml:space="preserve">Investigational Product and Administration</w:t>
      </w:r>
    </w:p>
    <w:p>
      <w:pPr>
        <w:spacing w:after="120" w:line="276"/>
      </w:pPr>
      <w:r>
        <w:rPr>
          <w:rFonts w:ascii="Arial" w:cs="Arial" w:eastAsia="Arial" w:hAnsi="Arial"/>
          <w:sz w:val="22"/>
          <w:szCs w:val="22"/>
        </w:rPr>
        <w:t xml:space="preserve">HF-1002 is supplied as a frozen sterile suspension of recombinant cardiotropic AAV (rAAV-Cx) encoding cI-1, at a concentration defined in the Pharmacy Manual. The assigned dose is administered as a single antegrade infusion into the coronary arteries in the cardiac catheterization laboratory, with the total dose volume distributed across the left and (where feasible) right coronary arteries per the Administration Manual. Participants are monitored for a minimum of 6 hours after infusion. No prophylactic immunosuppression is administered, given the heart failure population.</w:t>
      </w:r>
    </w:p>
    <w:p>
      <w:pPr>
        <w:pStyle w:val="Heading1"/>
        <w:numPr>
          <w:ilvl w:val="0"/>
          <w:numId w:val="2"/>
        </w:numPr>
      </w:pPr>
      <w:r>
        <w:rPr>
          <w:rFonts w:ascii="Arial" w:cs="Arial" w:eastAsia="Arial" w:hAnsi="Arial"/>
        </w:rPr>
        <w:t xml:space="preserve">Dose-Limiting Toxicity</w:t>
      </w:r>
    </w:p>
    <w:p>
      <w:pPr>
        <w:spacing w:after="120" w:line="276"/>
      </w:pPr>
      <w:r>
        <w:rPr>
          <w:rFonts w:ascii="Arial" w:cs="Arial" w:eastAsia="Arial" w:hAnsi="Arial"/>
          <w:sz w:val="22"/>
          <w:szCs w:val="22"/>
        </w:rPr>
        <w:t xml:space="preserve">The DLT window extends from infusion (Day 1) through Week 4 (Day 29). A DLT is defined as any of the following, when assessed by the investigator as related to HF-1002 or the administration procedure:</w:t>
      </w:r>
    </w:p>
    <w:p>
      <w:pPr>
        <w:pStyle w:val="ListParagraph"/>
        <w:numPr>
          <w:ilvl w:val="0"/>
          <w:numId w:val="3"/>
        </w:numPr>
        <w:spacing w:after="60" w:line="276"/>
      </w:pPr>
      <w:r>
        <w:rPr>
          <w:rFonts w:ascii="Arial" w:cs="Arial" w:eastAsia="Arial" w:hAnsi="Arial"/>
          <w:sz w:val="22"/>
          <w:szCs w:val="22"/>
        </w:rPr>
        <w:t xml:space="preserve">Myocarditis.</w:t>
      </w:r>
    </w:p>
    <w:p>
      <w:pPr>
        <w:pStyle w:val="ListParagraph"/>
        <w:numPr>
          <w:ilvl w:val="0"/>
          <w:numId w:val="3"/>
        </w:numPr>
        <w:spacing w:after="60" w:line="276"/>
      </w:pPr>
      <w:r>
        <w:rPr>
          <w:rFonts w:ascii="Arial" w:cs="Arial" w:eastAsia="Arial" w:hAnsi="Arial"/>
          <w:sz w:val="22"/>
          <w:szCs w:val="22"/>
        </w:rPr>
        <w:t xml:space="preserve">Myositis.</w:t>
      </w:r>
    </w:p>
    <w:p>
      <w:pPr>
        <w:pStyle w:val="ListParagraph"/>
        <w:numPr>
          <w:ilvl w:val="0"/>
          <w:numId w:val="3"/>
        </w:numPr>
        <w:spacing w:after="60" w:line="276"/>
      </w:pPr>
      <w:r>
        <w:rPr>
          <w:rFonts w:ascii="Arial" w:cs="Arial" w:eastAsia="Arial" w:hAnsi="Arial"/>
          <w:sz w:val="22"/>
          <w:szCs w:val="22"/>
        </w:rPr>
        <w:t xml:space="preserve">Grade 3 or higher neutropenia lasting more than 7 days.</w:t>
      </w:r>
    </w:p>
    <w:p>
      <w:pPr>
        <w:pStyle w:val="ListParagraph"/>
        <w:numPr>
          <w:ilvl w:val="0"/>
          <w:numId w:val="3"/>
        </w:numPr>
        <w:spacing w:after="60" w:line="276"/>
      </w:pPr>
      <w:r>
        <w:rPr>
          <w:rFonts w:ascii="Arial" w:cs="Arial" w:eastAsia="Arial" w:hAnsi="Arial"/>
          <w:sz w:val="22"/>
          <w:szCs w:val="22"/>
        </w:rPr>
        <w:t xml:space="preserve">Cardiac tamponade.</w:t>
      </w:r>
    </w:p>
    <w:p>
      <w:pPr>
        <w:pStyle w:val="ListParagraph"/>
        <w:numPr>
          <w:ilvl w:val="0"/>
          <w:numId w:val="3"/>
        </w:numPr>
        <w:spacing w:after="60" w:line="276"/>
      </w:pPr>
      <w:r>
        <w:rPr>
          <w:rFonts w:ascii="Arial" w:cs="Arial" w:eastAsia="Arial" w:hAnsi="Arial"/>
          <w:sz w:val="22"/>
          <w:szCs w:val="22"/>
        </w:rPr>
        <w:t xml:space="preserve">Grade 3 or higher hepatotoxicity (ALT or AST greater than 5x ULN, or greater than 3x ULN with total bilirubin greater than 2x ULN) not attributable to another cause.</w:t>
      </w:r>
    </w:p>
    <w:p>
      <w:pPr>
        <w:pStyle w:val="ListParagraph"/>
        <w:numPr>
          <w:ilvl w:val="0"/>
          <w:numId w:val="3"/>
        </w:numPr>
        <w:spacing w:after="60" w:line="276"/>
      </w:pPr>
      <w:r>
        <w:rPr>
          <w:rFonts w:ascii="Arial" w:cs="Arial" w:eastAsia="Arial" w:hAnsi="Arial"/>
          <w:sz w:val="22"/>
          <w:szCs w:val="22"/>
        </w:rPr>
        <w:t xml:space="preserve">Any other related Grade 4 or higher adverse event.</w:t>
      </w:r>
    </w:p>
    <w:p>
      <w:pPr>
        <w:pStyle w:val="Heading1"/>
        <w:numPr>
          <w:ilvl w:val="0"/>
          <w:numId w:val="2"/>
        </w:numPr>
      </w:pPr>
      <w:r>
        <w:rPr>
          <w:rFonts w:ascii="Arial" w:cs="Arial" w:eastAsia="Arial" w:hAnsi="Arial"/>
        </w:rPr>
        <w:t xml:space="preserve">Schedule of Assessments</w:t>
      </w:r>
    </w:p>
    <w:p>
      <w:pPr>
        <w:spacing w:after="120" w:line="276"/>
      </w:pPr>
      <w:r>
        <w:rPr>
          <w:rFonts w:ascii="Arial" w:cs="Arial" w:eastAsia="Arial" w:hAnsi="Arial"/>
          <w:sz w:val="22"/>
          <w:szCs w:val="22"/>
        </w:rPr>
        <w:t xml:space="preserve">Visit windows: Screening Day -28 to -1; Week visits plus or minus 3 days; Month 6 plus or minus 7 days; Month 12 plus or minus 14 days. "X" indicates the assessment is performed at that visit. Long-term follow-up (LTFU) telephone contacts occur at Months 18, 24, 30, and 36.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40"/>
        <w:gridCol w:w="560"/>
        <w:gridCol w:w="560"/>
        <w:gridCol w:w="560"/>
        <w:gridCol w:w="560"/>
        <w:gridCol w:w="560"/>
        <w:gridCol w:w="560"/>
        <w:gridCol w:w="560"/>
        <w:gridCol w:w="560"/>
        <w:gridCol w:w="560"/>
        <w:gridCol w:w="560"/>
        <w:gridCol w:w="560"/>
        <w:gridCol w:w="560"/>
      </w:tblGrid>
      <w:tr>
        <w:trPr>
          <w:tblHeader/>
        </w:trPr>
        <w:tc>
          <w:tcPr>
            <w:tcW w:type="dxa" w:w="264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Assessment</w:t>
            </w:r>
          </w:p>
        </w:tc>
        <w:tc>
          <w:tcPr>
            <w:tcW w:type="dxa" w:w="5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Scr</w:t>
            </w:r>
          </w:p>
        </w:tc>
        <w:tc>
          <w:tcPr>
            <w:tcW w:type="dxa" w:w="5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D1 (Inf)</w:t>
            </w:r>
          </w:p>
        </w:tc>
        <w:tc>
          <w:tcPr>
            <w:tcW w:type="dxa" w:w="5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D2</w:t>
            </w:r>
          </w:p>
        </w:tc>
        <w:tc>
          <w:tcPr>
            <w:tcW w:type="dxa" w:w="5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W2</w:t>
            </w:r>
          </w:p>
        </w:tc>
        <w:tc>
          <w:tcPr>
            <w:tcW w:type="dxa" w:w="5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W4</w:t>
            </w:r>
          </w:p>
        </w:tc>
        <w:tc>
          <w:tcPr>
            <w:tcW w:type="dxa" w:w="5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W6</w:t>
            </w:r>
          </w:p>
        </w:tc>
        <w:tc>
          <w:tcPr>
            <w:tcW w:type="dxa" w:w="5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W8</w:t>
            </w:r>
          </w:p>
        </w:tc>
        <w:tc>
          <w:tcPr>
            <w:tcW w:type="dxa" w:w="5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W10</w:t>
            </w:r>
          </w:p>
        </w:tc>
        <w:tc>
          <w:tcPr>
            <w:tcW w:type="dxa" w:w="5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W12 / M3</w:t>
            </w:r>
          </w:p>
        </w:tc>
        <w:tc>
          <w:tcPr>
            <w:tcW w:type="dxa" w:w="5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M6</w:t>
            </w:r>
          </w:p>
        </w:tc>
        <w:tc>
          <w:tcPr>
            <w:tcW w:type="dxa" w:w="5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M12</w:t>
            </w:r>
          </w:p>
        </w:tc>
        <w:tc>
          <w:tcPr>
            <w:tcW w:type="dxa" w:w="560"/>
            <w:tcBorders>
              <w:top w:val="single" w:color="000000" w:sz="1"/>
              <w:left w:val="single" w:color="000000" w:sz="1"/>
              <w:bottom w:val="single" w:color="000000" w:sz="1"/>
              <w:right w:val="single" w:color="000000" w:sz="1"/>
            </w:tcBorders>
            <w:shd w:fill="D9D9D9" w:val="clear"/>
            <w:tcMar>
              <w:top w:type="dxa" w:w="60"/>
              <w:left w:type="dxa" w:w="100"/>
              <w:bottom w:type="dxa" w:w="60"/>
              <w:right w:type="dxa" w:w="100"/>
            </w:tcMar>
            <w:vAlign w:val="center"/>
          </w:tcPr>
          <w:p>
            <w:r>
              <w:rPr>
                <w:rFonts w:ascii="Arial" w:cs="Arial" w:eastAsia="Arial" w:hAnsi="Arial"/>
                <w:b/>
                <w:bCs/>
                <w:i w:val="false"/>
                <w:iCs w:val="false"/>
                <w:color w:val="000000"/>
                <w:sz w:val="22"/>
                <w:szCs w:val="22"/>
              </w:rPr>
              <w:t xml:space="preserve">LTFU</w:t>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Informed consent</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Eligibility review</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Demographics</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Medical / cardiac history</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Physical examination</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Vital signs</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12-lead ECG</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Hematology</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Chemistry incl. liver function (ALT, AST, ALP, bilirubin)</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NT-proBNP / BNP</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Troponin I</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Complement C3 / C4</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Anti-AAV NAb</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IFNγ ELISpot (capsid, transgene)</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Echocardiography (local + central; LVEF)</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CPET (pVO2)</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6MWT</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NYHA class</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MLHFQ</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KCCQ</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HF-1002 infusion</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Concomitant medications</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Adverse event assessment</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r>
      <w:tr>
        <w:tc>
          <w:tcPr>
            <w:tcW w:type="dxa" w:w="264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Survival / status (phone)</w:t>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
            </w:r>
          </w:p>
        </w:tc>
        <w:tc>
          <w:tcPr>
            <w:tcW w:type="dxa" w:w="560"/>
            <w:tcBorders>
              <w:top w:val="single" w:color="000000" w:sz="1"/>
              <w:left w:val="single" w:color="000000" w:sz="1"/>
              <w:bottom w:val="single" w:color="000000" w:sz="1"/>
              <w:right w:val="single" w:color="000000" w:sz="1"/>
            </w:tcBorders>
            <w:tcMar>
              <w:top w:type="dxa" w:w="60"/>
              <w:left w:type="dxa" w:w="100"/>
              <w:bottom w:type="dxa" w:w="60"/>
              <w:right w:type="dxa" w:w="100"/>
            </w:tcMar>
            <w:vAlign w:val="center"/>
          </w:tcPr>
          <w:p>
            <w:r>
              <w:rPr>
                <w:rFonts w:ascii="Arial" w:cs="Arial" w:eastAsia="Arial" w:hAnsi="Arial"/>
                <w:b w:val="false"/>
                <w:bCs w:val="false"/>
                <w:i w:val="false"/>
                <w:iCs w:val="false"/>
                <w:color w:val="000000"/>
                <w:sz w:val="22"/>
                <w:szCs w:val="22"/>
              </w:rPr>
              <w:t xml:space="preserve">X</w:t>
            </w:r>
          </w:p>
        </w:tc>
      </w:tr>
    </w:tbl>
    <w:p>
      <w:pPr>
        <w:pStyle w:val="Heading1"/>
        <w:numPr>
          <w:ilvl w:val="0"/>
          <w:numId w:val="2"/>
        </w:numPr>
      </w:pPr>
      <w:r>
        <w:rPr>
          <w:rFonts w:ascii="Arial" w:cs="Arial" w:eastAsia="Arial" w:hAnsi="Arial"/>
        </w:rPr>
        <w:t xml:space="preserve">Study Assessments</w:t>
      </w:r>
    </w:p>
    <w:p>
      <w:pPr>
        <w:pStyle w:val="Heading2"/>
        <w:numPr>
          <w:ilvl w:val="1"/>
          <w:numId w:val="2"/>
        </w:numPr>
      </w:pPr>
      <w:r>
        <w:rPr>
          <w:rFonts w:ascii="Arial" w:cs="Arial" w:eastAsia="Arial" w:hAnsi="Arial"/>
        </w:rPr>
        <w:t xml:space="preserve">Safety</w:t>
      </w:r>
    </w:p>
    <w:p>
      <w:pPr>
        <w:spacing w:after="120" w:line="276"/>
      </w:pPr>
      <w:r>
        <w:rPr>
          <w:rFonts w:ascii="Arial" w:cs="Arial" w:eastAsia="Arial" w:hAnsi="Arial"/>
          <w:sz w:val="22"/>
          <w:szCs w:val="22"/>
        </w:rPr>
        <w:t xml:space="preserve">Adverse events are collected from the time of informed consent and graded per CTCAE v5.0. TEAEs are AEs that are new or worsen in severity or frequency after infusion. SAEs, deaths, cardiac-related hospitalizations, cardiac transplantation, and LV assist device implantation are recorded throughout the primary observation period and LTFU. Clinical laboratory tests, vital signs, and 12-lead ECGs are obtained per the schedule of assessments.</w:t>
      </w:r>
    </w:p>
    <w:p>
      <w:pPr>
        <w:pStyle w:val="Heading2"/>
        <w:numPr>
          <w:ilvl w:val="1"/>
          <w:numId w:val="2"/>
        </w:numPr>
      </w:pPr>
      <w:r>
        <w:rPr>
          <w:rFonts w:ascii="Arial" w:cs="Arial" w:eastAsia="Arial" w:hAnsi="Arial"/>
        </w:rPr>
        <w:t xml:space="preserve">Efficacy</w:t>
      </w:r>
    </w:p>
    <w:p>
      <w:pPr>
        <w:spacing w:after="120" w:line="276"/>
      </w:pPr>
      <w:r>
        <w:rPr>
          <w:rFonts w:ascii="Arial" w:cs="Arial" w:eastAsia="Arial" w:hAnsi="Arial"/>
          <w:sz w:val="22"/>
          <w:szCs w:val="22"/>
        </w:rPr>
        <w:t xml:space="preserve">Functional status (NYHA class), functional capacity (pVO2 by CPET; 6MWT distance), cardiac structure and function (LVEF by transthoracic echocardiography, read both locally and by a blinded central reader to reduce interobserver variability), and quality of life (MLHFQ total score; KCCQ overall summary and domain scores) are assessed per the schedule. For the MLHFQ, lower scores indicate better quality of life; for the KCCQ, higher scores indicate better quality of life.</w:t>
      </w:r>
    </w:p>
    <w:p>
      <w:pPr>
        <w:pStyle w:val="Heading2"/>
        <w:numPr>
          <w:ilvl w:val="1"/>
          <w:numId w:val="2"/>
        </w:numPr>
      </w:pPr>
      <w:r>
        <w:rPr>
          <w:rFonts w:ascii="Arial" w:cs="Arial" w:eastAsia="Arial" w:hAnsi="Arial"/>
        </w:rPr>
        <w:t xml:space="preserve">Biomarkers and Immunogenicity</w:t>
      </w:r>
    </w:p>
    <w:p>
      <w:pPr>
        <w:spacing w:after="120" w:line="276"/>
      </w:pPr>
      <w:r>
        <w:rPr>
          <w:rFonts w:ascii="Arial" w:cs="Arial" w:eastAsia="Arial" w:hAnsi="Arial"/>
          <w:sz w:val="22"/>
          <w:szCs w:val="22"/>
        </w:rPr>
        <w:t xml:space="preserve">Cardiac biomarkers (NT-proBNP/BNP, troponin I) and complement proteins (C3, C4) are measured per the schedule. Humoral immunity is assessed by anti-AAV NAb titer; cellular immunity is assessed by IFNγ ELISpot quantifying T-cell responses to the rAAV-Cx capsid and to the cI-1 transgene.</w:t>
      </w:r>
    </w:p>
    <w:p>
      <w:pPr>
        <w:pStyle w:val="Heading2"/>
        <w:numPr>
          <w:ilvl w:val="1"/>
          <w:numId w:val="2"/>
        </w:numPr>
      </w:pPr>
      <w:r>
        <w:rPr>
          <w:rFonts w:ascii="Arial" w:cs="Arial" w:eastAsia="Arial" w:hAnsi="Arial"/>
        </w:rPr>
        <w:t xml:space="preserve">Optional Cardiac Tissue</w:t>
      </w:r>
    </w:p>
    <w:p>
      <w:pPr>
        <w:spacing w:after="120" w:line="276"/>
      </w:pPr>
      <w:r>
        <w:rPr>
          <w:rFonts w:ascii="Arial" w:cs="Arial" w:eastAsia="Arial" w:hAnsi="Arial"/>
          <w:sz w:val="22"/>
          <w:szCs w:val="22"/>
        </w:rPr>
        <w:t xml:space="preserve">Participants may optionally provide cardiac tissue (endomyocardial biopsy or tissue obtained during a clinically indicated procedure) for assessment of myocardial vector genome copies per diploid genome and PLN Ser16 phosphorylation relative to control myocardium.</w:t>
      </w:r>
    </w:p>
    <w:p>
      <w:pPr>
        <w:pStyle w:val="Heading1"/>
        <w:numPr>
          <w:ilvl w:val="0"/>
          <w:numId w:val="2"/>
        </w:numPr>
      </w:pPr>
      <w:r>
        <w:rPr>
          <w:rFonts w:ascii="Arial" w:cs="Arial" w:eastAsia="Arial" w:hAnsi="Arial"/>
        </w:rPr>
        <w:t xml:space="preserve">Statistical Considerations</w:t>
      </w:r>
    </w:p>
    <w:p>
      <w:pPr>
        <w:pStyle w:val="Heading2"/>
        <w:numPr>
          <w:ilvl w:val="1"/>
          <w:numId w:val="2"/>
        </w:numPr>
      </w:pPr>
      <w:r>
        <w:rPr>
          <w:rFonts w:ascii="Arial" w:cs="Arial" w:eastAsia="Arial" w:hAnsi="Arial"/>
        </w:rPr>
        <w:t xml:space="preserve">Analysis Sets</w:t>
      </w:r>
    </w:p>
    <w:p>
      <w:pPr>
        <w:pStyle w:val="ListParagraph"/>
        <w:numPr>
          <w:ilvl w:val="0"/>
          <w:numId w:val="3"/>
        </w:numPr>
        <w:spacing w:after="60" w:line="276"/>
      </w:pPr>
      <w:r>
        <w:rPr>
          <w:rFonts w:ascii="Arial" w:cs="Arial" w:eastAsia="Arial" w:hAnsi="Arial"/>
          <w:sz w:val="22"/>
          <w:szCs w:val="22"/>
        </w:rPr>
        <w:t xml:space="preserve">Enrolled Set: all participants who sign informed consent and meet eligibility.</w:t>
      </w:r>
    </w:p>
    <w:p>
      <w:pPr>
        <w:pStyle w:val="ListParagraph"/>
        <w:numPr>
          <w:ilvl w:val="0"/>
          <w:numId w:val="3"/>
        </w:numPr>
        <w:spacing w:after="60" w:line="276"/>
      </w:pPr>
      <w:r>
        <w:rPr>
          <w:rFonts w:ascii="Arial" w:cs="Arial" w:eastAsia="Arial" w:hAnsi="Arial"/>
          <w:sz w:val="22"/>
          <w:szCs w:val="22"/>
        </w:rPr>
        <w:t xml:space="preserve">Safety Set: all participants who receive any amount of HF-1002. Primary set for safety summaries.</w:t>
      </w:r>
    </w:p>
    <w:p>
      <w:pPr>
        <w:pStyle w:val="ListParagraph"/>
        <w:numPr>
          <w:ilvl w:val="0"/>
          <w:numId w:val="3"/>
        </w:numPr>
        <w:spacing w:after="60" w:line="276"/>
      </w:pPr>
      <w:r>
        <w:rPr>
          <w:rFonts w:ascii="Arial" w:cs="Arial" w:eastAsia="Arial" w:hAnsi="Arial"/>
          <w:sz w:val="22"/>
          <w:szCs w:val="22"/>
        </w:rPr>
        <w:t xml:space="preserve">DLT-Evaluable Set: all Safety Set participants who complete the DLT window or experience a DLT within it.</w:t>
      </w:r>
    </w:p>
    <w:p>
      <w:pPr>
        <w:pStyle w:val="ListParagraph"/>
        <w:numPr>
          <w:ilvl w:val="0"/>
          <w:numId w:val="3"/>
        </w:numPr>
        <w:spacing w:after="60" w:line="276"/>
      </w:pPr>
      <w:r>
        <w:rPr>
          <w:rFonts w:ascii="Arial" w:cs="Arial" w:eastAsia="Arial" w:hAnsi="Arial"/>
          <w:sz w:val="22"/>
          <w:szCs w:val="22"/>
        </w:rPr>
        <w:t xml:space="preserve">Full Analysis Set (FAS): all participants who receive the complete planned infusion. Primary set for efficacy summaries.</w:t>
      </w:r>
    </w:p>
    <w:p>
      <w:pPr>
        <w:pStyle w:val="Heading2"/>
        <w:numPr>
          <w:ilvl w:val="1"/>
          <w:numId w:val="2"/>
        </w:numPr>
      </w:pPr>
      <w:r>
        <w:rPr>
          <w:rFonts w:ascii="Arial" w:cs="Arial" w:eastAsia="Arial" w:hAnsi="Arial"/>
        </w:rPr>
        <w:t xml:space="preserve">General Principles</w:t>
      </w:r>
    </w:p>
    <w:p>
      <w:pPr>
        <w:spacing w:after="120" w:line="276"/>
      </w:pPr>
      <w:r>
        <w:rPr>
          <w:rFonts w:ascii="Arial" w:cs="Arial" w:eastAsia="Arial" w:hAnsi="Arial"/>
          <w:sz w:val="22"/>
          <w:szCs w:val="22"/>
        </w:rPr>
        <w:t xml:space="preserve">This is a Phase 1 study; all analyses are descriptive and no formal hypothesis testing is performed. No sample size calculation was conducted; the planned sample of up to 18 participants (up to 6 per cohort) is based on feasibility and is conventional for a first-in-human dose-escalation study. Data are summarized by cohort and overall. Continuous variables are summarized with n, mean, standard deviation, median, minimum, and maximum; categorical variables with counts and percentages. For efficacy and biomarker measures, both observed values and change from baseline are summarized at each scheduled timepoint.</w:t>
      </w:r>
    </w:p>
    <w:p>
      <w:pPr>
        <w:pStyle w:val="Heading2"/>
        <w:numPr>
          <w:ilvl w:val="1"/>
          <w:numId w:val="2"/>
        </w:numPr>
      </w:pPr>
      <w:r>
        <w:rPr>
          <w:rFonts w:ascii="Arial" w:cs="Arial" w:eastAsia="Arial" w:hAnsi="Arial"/>
        </w:rPr>
        <w:t xml:space="preserve">Safety Analyses</w:t>
      </w:r>
    </w:p>
    <w:p>
      <w:pPr>
        <w:spacing w:after="120" w:line="276"/>
      </w:pPr>
      <w:r>
        <w:rPr>
          <w:rFonts w:ascii="Arial" w:cs="Arial" w:eastAsia="Arial" w:hAnsi="Arial"/>
          <w:sz w:val="22"/>
          <w:szCs w:val="22"/>
        </w:rPr>
        <w:t xml:space="preserve">TEAEs are coded using MedDRA and summarized by system organ class and preferred term, by maximum severity (CTCAE v5.0), and by relationship to study treatment, for each cohort and overall. SAEs, deaths, and DLTs are summarized separately. Laboratory parameters, vital signs, and ECG parameters are summarized as observed values and changes from baseline; shifts relative to normal ranges and values meeting predefined alert criteria (for example, liver enzyme elevations) are tabulated.</w:t>
      </w:r>
    </w:p>
    <w:p>
      <w:pPr>
        <w:pStyle w:val="Heading2"/>
        <w:numPr>
          <w:ilvl w:val="1"/>
          <w:numId w:val="2"/>
        </w:numPr>
      </w:pPr>
      <w:r>
        <w:rPr>
          <w:rFonts w:ascii="Arial" w:cs="Arial" w:eastAsia="Arial" w:hAnsi="Arial"/>
        </w:rPr>
        <w:t xml:space="preserve">Efficacy and Exploratory Analyses</w:t>
      </w:r>
    </w:p>
    <w:p>
      <w:pPr>
        <w:spacing w:after="120" w:line="276"/>
      </w:pPr>
      <w:r>
        <w:rPr>
          <w:rFonts w:ascii="Arial" w:cs="Arial" w:eastAsia="Arial" w:hAnsi="Arial"/>
          <w:sz w:val="22"/>
          <w:szCs w:val="22"/>
        </w:rPr>
        <w:t xml:space="preserve">NYHA class is summarized as frequency distributions and shifts from baseline. LVEF, pVO2, 6MWT, MLHFQ, and KCCQ are summarized descriptively as observed values and change from baseline at Months 3, 6, and 12. Biomarkers and immunogenicity measures are summarized descriptively over time; selected measures may be presented on a logarithmic scale.</w:t>
      </w:r>
    </w:p>
    <w:p>
      <w:pPr>
        <w:pStyle w:val="Heading2"/>
        <w:numPr>
          <w:ilvl w:val="1"/>
          <w:numId w:val="2"/>
        </w:numPr>
      </w:pPr>
      <w:r>
        <w:rPr>
          <w:rFonts w:ascii="Arial" w:cs="Arial" w:eastAsia="Arial" w:hAnsi="Arial"/>
        </w:rPr>
        <w:t xml:space="preserve">Handling of Missing Data</w:t>
      </w:r>
    </w:p>
    <w:p>
      <w:pPr>
        <w:spacing w:after="120" w:line="276"/>
      </w:pPr>
      <w:r>
        <w:rPr>
          <w:rFonts w:ascii="Arial" w:cs="Arial" w:eastAsia="Arial" w:hAnsi="Arial"/>
          <w:sz w:val="22"/>
          <w:szCs w:val="22"/>
        </w:rPr>
        <w:t xml:space="preserve">No imputation is performed. Analyses are based on observed data, and the number of participants contributing to each summary is reported at each timepoint.</w:t>
      </w:r>
    </w:p>
    <w:p>
      <w:pPr>
        <w:pStyle w:val="Heading2"/>
        <w:numPr>
          <w:ilvl w:val="1"/>
          <w:numId w:val="2"/>
        </w:numPr>
      </w:pPr>
      <w:r>
        <w:rPr>
          <w:rFonts w:ascii="Arial" w:cs="Arial" w:eastAsia="Arial" w:hAnsi="Arial"/>
        </w:rPr>
        <w:t xml:space="preserve">Software</w:t>
      </w:r>
    </w:p>
    <w:p>
      <w:pPr>
        <w:spacing w:after="120" w:line="276"/>
      </w:pPr>
      <w:r>
        <w:rPr>
          <w:rFonts w:ascii="Arial" w:cs="Arial" w:eastAsia="Arial" w:hAnsi="Arial"/>
          <w:sz w:val="22"/>
          <w:szCs w:val="22"/>
        </w:rPr>
        <w:t xml:space="preserve">Analyses are produced using SAS version 9.4 or an equivalent validated environment (for example, Python or R).</w:t>
      </w:r>
    </w:p>
    <w:p>
      <w:pPr>
        <w:pStyle w:val="Heading1"/>
        <w:numPr>
          <w:ilvl w:val="0"/>
          <w:numId w:val="2"/>
        </w:numPr>
      </w:pPr>
      <w:r>
        <w:rPr>
          <w:rFonts w:ascii="Arial" w:cs="Arial" w:eastAsia="Arial" w:hAnsi="Arial"/>
        </w:rPr>
        <w:t xml:space="preserve">Safety Monitoring</w:t>
      </w:r>
    </w:p>
    <w:p>
      <w:pPr>
        <w:spacing w:after="120" w:line="276"/>
      </w:pPr>
      <w:r>
        <w:rPr>
          <w:rFonts w:ascii="Arial" w:cs="Arial" w:eastAsia="Arial" w:hAnsi="Arial"/>
          <w:sz w:val="22"/>
          <w:szCs w:val="22"/>
        </w:rPr>
        <w:t xml:space="preserve">Safety is reviewed by a Safety Review Committee comprising the study investigators and an independent cardiologist. The Committee reviews cumulative safety data through the DLT window before each escalation decision and may recommend cohort expansion, dose modification, pause, or termination. The Committee operates per a separate charter.</w:t>
      </w:r>
    </w:p>
    <w:p>
      <w:pPr>
        <w:pStyle w:val="Heading1"/>
        <w:numPr>
          <w:ilvl w:val="0"/>
          <w:numId w:val="2"/>
        </w:numPr>
      </w:pPr>
      <w:r>
        <w:rPr>
          <w:rFonts w:ascii="Arial" w:cs="Arial" w:eastAsia="Arial" w:hAnsi="Arial"/>
        </w:rPr>
        <w:t xml:space="preserve">Ethics and Regulatory</w:t>
      </w:r>
    </w:p>
    <w:p>
      <w:pPr>
        <w:spacing w:after="120" w:line="276"/>
      </w:pPr>
      <w:r>
        <w:rPr>
          <w:rFonts w:ascii="Arial" w:cs="Arial" w:eastAsia="Arial" w:hAnsi="Arial"/>
          <w:sz w:val="22"/>
          <w:szCs w:val="22"/>
        </w:rPr>
        <w:t xml:space="preserve">The study is conducted in accordance with the Declaration of Helsinki, ICH E6 Good Clinical Practice, and applicable regulatory requirements. The protocol and informed consent are reviewed and approved by an Institutional Review Board or independent ethics committee at each site before enrollment. Written informed consent is obtained from each participant before any study-specific procedure.</w:t>
      </w:r>
    </w:p>
    <w:p>
      <w:pPr>
        <w:pStyle w:val="Heading1"/>
        <w:numPr>
          <w:ilvl w:val="0"/>
          <w:numId w:val="2"/>
        </w:numPr>
      </w:pPr>
      <w:r>
        <w:rPr>
          <w:rFonts w:ascii="Arial" w:cs="Arial" w:eastAsia="Arial" w:hAnsi="Arial"/>
        </w:rPr>
        <w:t xml:space="preserve">Data Handling and Records</w:t>
      </w:r>
    </w:p>
    <w:p>
      <w:pPr>
        <w:spacing w:after="120" w:line="276"/>
      </w:pPr>
      <w:r>
        <w:rPr>
          <w:rFonts w:ascii="Arial" w:cs="Arial" w:eastAsia="Arial" w:hAnsi="Arial"/>
          <w:sz w:val="22"/>
          <w:szCs w:val="22"/>
        </w:rPr>
        <w:t xml:space="preserve">Data are captured in a validated electronic data capture system. Source documentation, monitoring, quality control, and record retention are conducted per the Sponsor's standard operating procedures and applicable regulations.</w:t>
      </w:r>
    </w:p>
    <w:p>
      <w:pPr>
        <w:spacing w:after="300"/>
      </w:pPr>
    </w:p>
    <w:p>
      <w:pPr>
        <w:spacing w:before="480"/>
        <w:jc w:val="center"/>
      </w:pPr>
      <w:r>
        <w:rPr>
          <w:rFonts w:ascii="Arial" w:cs="Arial" w:eastAsia="Arial" w:hAnsi="Arial"/>
          <w:i/>
          <w:iCs/>
        </w:rPr>
        <w:t xml:space="preserve">End of Document — fictional, for demonstration and training use only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center" w:pos="4680"/>
        <w:tab w:val="right" w:pos="9026"/>
      </w:tabs>
      <w:spacing w:after="0"/>
    </w:pPr>
    <w:r>
      <w:rPr>
        <w:rFonts w:ascii="Arial" w:cs="Arial" w:eastAsia="Arial" w:hAnsi="Arial"/>
        <w:sz w:val="16"/>
        <w:szCs w:val="16"/>
      </w:rPr>
      <w:t xml:space="preserve">HF-1002-CL-101</w:t>
    </w:r>
    <w:r>
      <w:rPr>
        <w:rFonts w:ascii="Arial" w:cs="Arial" w:eastAsia="Arial" w:hAnsi="Arial"/>
        <w:sz w:val="16"/>
        <w:szCs w:val="16"/>
      </w:rPr>
      <w:t xml:space="preserve">	CONFIDENTIAL</w:t>
    </w:r>
    <w:r>
      <w:rPr>
        <w:rFonts w:ascii="Arial" w:cs="Arial" w:eastAsia="Arial" w:hAnsi="Arial"/>
        <w:sz w:val="16"/>
        <w:szCs w:val="16"/>
      </w:rPr>
      <w:t xml:space="preserve">	Page </w:t>
    </w:r>
    <w:r>
      <w:rPr>
        <w:rFonts w:ascii="Arial" w:cs="Arial" w:eastAsia="Arial" w:hAnsi="Arial"/>
        <w:sz w:val="16"/>
        <w:szCs w:val="16"/>
      </w:rPr>
      <w:fldChar w:fldCharType="begin"/>
      <w:instrText xml:space="preserve">PAGE</w:instrText>
      <w:fldChar w:fldCharType="separate"/>
      <w:fldChar w:fldCharType="end"/>
    </w:r>
    <w:r>
      <w:rPr>
        <w:rFonts w:ascii="Arial" w:cs="Arial" w:eastAsia="Arial" w:hAnsi="Arial"/>
        <w:sz w:val="16"/>
        <w:szCs w:val="16"/>
      </w:rPr>
      <w:t xml:space="preserve"> of </w:t>
    </w:r>
    <w:r>
      <w:rPr>
        <w:rFonts w:ascii="Arial" w:cs="Arial" w:eastAsia="Arial" w:hAnsi="Arial"/>
        <w:sz w:val="16"/>
        <w:szCs w:val="16"/>
      </w:rPr>
      <w:fldChar w:fldCharType="begin"/>
      <w:instrText xml:space="preserve">NUMPAGES</w:instrText>
      <w:fldChar w:fldCharType="separate"/>
      <w:fldChar w:fldCharType="end"/>
    </w:r>
  </w:p>
  <w:p>
    <w:pPr>
      <w:tabs>
        <w:tab w:val="right" w:pos="9026"/>
      </w:tabs>
      <w:spacing w:after="0"/>
    </w:pPr>
    <w:r>
      <w:rPr>
        <w:rFonts w:ascii="Arial" w:cs="Arial" w:eastAsia="Arial" w:hAnsi="Arial"/>
        <w:sz w:val="16"/>
        <w:szCs w:val="16"/>
      </w:rPr>
      <w:t xml:space="preserve">For demonstration only</w:t>
    </w:r>
    <w:r>
      <w:rPr>
        <w:rFonts w:ascii="Arial" w:cs="Arial" w:eastAsia="Arial" w:hAnsi="Arial"/>
        <w:sz w:val="16"/>
        <w:szCs w:val="16"/>
      </w:rPr>
      <w:t xml:space="preserve">	Effective: 06-Jun-2026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sz w:val="20"/>
        <w:szCs w:val="20"/>
      </w:rPr>
      <w:t xml:space="preserve">Clinical Study Protocol   HF-1002-CL-101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32" w:hanging="432"/>
      </w:pPr>
    </w:lvl>
    <w:lvl w:ilvl="1" w15:tentative="1">
      <w:start w:val="1"/>
      <w:numFmt w:val="decimal"/>
      <w:lvlText w:val="%1.%2"/>
      <w:lvlJc w:val="left"/>
      <w:pPr>
        <w:ind w:left="576" w:hanging="576"/>
      </w:pPr>
    </w:lvl>
    <w:lvl w:ilvl="2" w15:tentative="1">
      <w:start w:val="1"/>
      <w:numFmt w:val="decimal"/>
      <w:lvlText w:val="%1.%2.%3"/>
      <w:lvlJc w:val="left"/>
      <w:pPr>
        <w:ind w:left="720" w:hanging="720"/>
      </w:pPr>
    </w:lvl>
  </w:abstractNum>
  <w:abstractNum w:abstractNumId="3"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pPr>
      <w:spacing w:after="120" w:before="0"/>
      <w:jc w:val="center"/>
    </w:pPr>
    <w:rPr>
      <w:rFonts w:ascii="Arial" w:cs="Arial" w:eastAsia="Arial" w:hAnsi="Arial"/>
      <w:b/>
      <w:bCs/>
      <w:color w:val="000000"/>
      <w:sz w:val="32"/>
      <w:szCs w:val="32"/>
    </w:rPr>
  </w:style>
  <w:style w:type="paragraph" w:styleId="Heading1">
    <w:name w:val="Heading 1"/>
    <w:basedOn w:val="Normal"/>
    <w:next w:val="Normal"/>
    <w:qFormat/>
    <w:pPr>
      <w:pStyle w:val="ListParagraph"/>
      <w:numPr>
        <w:ilvl w:val="0"/>
        <w:numId w:val="2"/>
      </w:numPr>
      <w:spacing w:after="120" w:before="240"/>
      <w:outlineLvl w:val="0"/>
    </w:pPr>
    <w:rPr>
      <w:rFonts w:ascii="Arial" w:cs="Arial" w:eastAsia="Arial" w:hAnsi="Arial"/>
      <w:b/>
      <w:bCs/>
      <w:color w:val="000000"/>
      <w:sz w:val="26"/>
      <w:szCs w:val="26"/>
    </w:rPr>
  </w:style>
  <w:style w:type="paragraph" w:styleId="Heading2">
    <w:name w:val="Heading 2"/>
    <w:basedOn w:val="Normal"/>
    <w:next w:val="Normal"/>
    <w:qFormat/>
    <w:pPr>
      <w:pStyle w:val="ListParagraph"/>
      <w:numPr>
        <w:ilvl w:val="1"/>
        <w:numId w:val="2"/>
      </w:numPr>
      <w:spacing w:after="100" w:before="200"/>
      <w:outlineLvl w:val="1"/>
    </w:pPr>
    <w:rPr>
      <w:rFonts w:ascii="Arial" w:cs="Arial" w:eastAsia="Arial" w:hAnsi="Arial"/>
      <w:b/>
      <w:bCs/>
      <w:color w:val="000000"/>
      <w:sz w:val="24"/>
      <w:szCs w:val="24"/>
    </w:rPr>
  </w:style>
  <w:style w:type="paragraph" w:styleId="Heading3">
    <w:name w:val="Heading 3"/>
    <w:basedOn w:val="Normal"/>
    <w:next w:val="Normal"/>
    <w:qFormat/>
    <w:pPr>
      <w:pStyle w:val="ListParagraph"/>
      <w:numPr>
        <w:ilvl w:val="2"/>
        <w:numId w:val="2"/>
      </w:numPr>
      <w:spacing w:after="80" w:before="160"/>
      <w:outlineLvl w:val="2"/>
    </w:pPr>
    <w:rPr>
      <w:rFonts w:ascii="Arial" w:cs="Arial" w:eastAsia="Arial" w:hAnsi="Arial"/>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2026-06-07T00:43:22.089Z</dcterms:created>
  <dcterms:modified xsi:type="dcterms:W3CDTF">2026-06-07T00:43:22.090Z</dcterms:modified>
</cp:coreProperties>
</file>

<file path=docProps/custom.xml><?xml version="1.0" encoding="utf-8"?>
<Properties xmlns="http://schemas.openxmlformats.org/officeDocument/2006/custom-properties" xmlns:vt="http://schemas.openxmlformats.org/officeDocument/2006/docPropsVTypes"/>
</file>