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Cardiovascular Clinical Sciences</w:t>
      </w:r>
    </w:p>
    <w:p>
      <w:pPr>
        <w:pStyle w:val="Title"/>
      </w:pPr>
      <w:r>
        <w:t xml:space="preserve">Statistical Analysis Plan</w:t>
      </w:r>
    </w:p>
    <w:p>
      <w:pPr>
        <w:spacing w:before="240"/>
        <w:jc w:val="center"/>
      </w:pPr>
      <w:r>
        <w:rPr>
          <w:rFonts w:ascii="Arial" w:cs="Arial" w:eastAsia="Arial" w:hAnsi="Arial"/>
          <w:b/>
          <w:bCs/>
          <w:sz w:val="28"/>
          <w:szCs w:val="28"/>
        </w:rPr>
        <w:t xml:space="preserve">HF-1002-CL-101</w:t>
      </w:r>
    </w:p>
    <w:p>
      <w:pPr>
        <w:spacing w:before="120"/>
        <w:jc w:val="center"/>
      </w:pPr>
      <w:r>
        <w:rPr>
          <w:rFonts w:ascii="Arial" w:cs="Arial" w:eastAsia="Arial" w:hAnsi="Arial"/>
          <w:sz w:val="24"/>
          <w:szCs w:val="24"/>
        </w:rPr>
        <w:t xml:space="preserve">A Phase 1, Open-Label, Sequential Dose-Escalation Study of a Single Intracoronary Infusion of HF-1002 in Adults with Nonischemic Cardiomyopathy and NYHA Class III Heart Failure</w:t>
      </w:r>
    </w:p>
    <w:p>
      <w:pPr>
        <w:spacing w:before="120"/>
        <w:jc w:val="center"/>
      </w:pPr>
      <w:r>
        <w:rPr>
          <w:rFonts w:ascii="Arial" w:cs="Arial" w:eastAsia="Arial" w:hAnsi="Arial"/>
          <w:sz w:val="22"/>
          <w:szCs w:val="22"/>
        </w:rPr>
        <w:t xml:space="preserve">Sponsor: Corvexa Therapeutics, Inc. (fictional)</w:t>
      </w:r>
    </w:p>
    <w:p>
      <w:pPr>
        <w:spacing w:before="240"/>
        <w:jc w:val="center"/>
      </w:pPr>
      <w:r>
        <w:rPr>
          <w:rFonts w:ascii="Arial" w:cs="Arial" w:eastAsia="Arial" w:hAnsi="Arial"/>
          <w:i/>
          <w:iCs/>
        </w:rPr>
        <w:t xml:space="preserve">Version 1.0</w:t>
      </w:r>
    </w:p>
    <w:p>
      <w:pPr>
        <w:spacing w:after="240" w:before="120"/>
        <w:jc w:val="center"/>
      </w:pPr>
      <w:r>
        <w:rPr>
          <w:rFonts w:ascii="Arial" w:cs="Arial" w:eastAsia="Arial" w:hAnsi="Arial"/>
          <w:i/>
          <w:iCs/>
        </w:rPr>
        <w:t xml:space="preserve">Effective Date: 06-Jun-2026</w:t>
      </w:r>
    </w:p>
    <w:p>
      <w:pPr>
        <w:spacing w:after="240" w:before="120"/>
        <w:jc w:val="center"/>
      </w:pPr>
      <w:r>
        <w:rPr>
          <w:rFonts w:ascii="Arial" w:cs="Arial" w:eastAsia="Arial" w:hAnsi="Arial"/>
          <w:b/>
          <w:bCs/>
          <w:color w:val="FF0000"/>
          <w:sz w:val="24"/>
          <w:szCs w:val="24"/>
        </w:rPr>
        <w:t xml:space="preserve">CONFIDENTIAL</w:t>
      </w:r>
    </w:p>
    <w:p>
      <w:pPr>
        <w:spacing w:after="120" w:before="120"/>
        <w:jc w:val="center"/>
      </w:pPr>
      <w:r>
        <w:rPr>
          <w:rFonts w:ascii="Arial" w:cs="Arial" w:eastAsia="Arial" w:hAnsi="Arial"/>
          <w:i/>
          <w:iCs/>
          <w:color w:val="808080"/>
          <w:sz w:val="18"/>
          <w:szCs w:val="18"/>
        </w:rPr>
        <w:t xml:space="preserve">FICTIONAL DOCUMENT — FOR DEMONSTRATION AND TRAINING ONLY</w:t>
      </w:r>
    </w:p>
    <w:p>
      <w:r>
        <w:br w:type="page"/>
      </w:r>
    </w:p>
    <w:p>
      <w:pPr>
        <w:pStyle w:val="Heading1"/>
      </w:pPr>
      <w:r>
        <w:rPr>
          <w:rFonts w:ascii="Arial" w:cs="Arial" w:eastAsia="Arial" w:hAnsi="Arial"/>
        </w:rPr>
        <w:t xml:space="preserve">Version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800"/>
        <w:gridCol w:w="2360"/>
        <w:gridCol w:w="4000"/>
      </w:tblGrid>
      <w:tr>
        <w:trPr>
          <w:tblHeader/>
        </w:trPr>
        <w:tc>
          <w:tcPr>
            <w:tcW w:type="dxa" w:w="12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Version</w:t>
            </w:r>
          </w:p>
        </w:tc>
        <w:tc>
          <w:tcPr>
            <w:tcW w:type="dxa" w:w="18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Date</w:t>
            </w:r>
          </w:p>
        </w:tc>
        <w:tc>
          <w:tcPr>
            <w:tcW w:type="dxa" w:w="23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Author</w:t>
            </w:r>
          </w:p>
        </w:tc>
        <w:tc>
          <w:tcPr>
            <w:tcW w:type="dxa" w:w="40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Description of Change</w:t>
            </w:r>
          </w:p>
        </w:tc>
      </w:tr>
      <w:tr>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1.0</w:t>
            </w:r>
          </w:p>
        </w:tc>
        <w:tc>
          <w:tcPr>
            <w:tcW w:type="dxa" w:w="18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06-Jun-2026</w:t>
            </w:r>
          </w:p>
        </w:tc>
        <w:tc>
          <w:tcPr>
            <w:tcW w:type="dxa" w:w="23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Lead Biostatistician</w:t>
            </w:r>
          </w:p>
        </w:tc>
        <w:tc>
          <w:tcPr>
            <w:tcW w:type="dxa" w:w="4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Initial version</w:t>
            </w:r>
          </w:p>
        </w:tc>
      </w:tr>
    </w:tbl>
    <w:p>
      <w:pPr>
        <w:spacing w:after="200"/>
      </w:pPr>
    </w:p>
    <w:p>
      <w:pPr>
        <w:pStyle w:val="Heading1"/>
      </w:pPr>
      <w:r>
        <w:rPr>
          <w:rFonts w:ascii="Arial" w:cs="Arial" w:eastAsia="Arial" w:hAnsi="Arial"/>
        </w:rPr>
        <w:t xml:space="preserve">Approval Signatures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1880"/>
        <w:gridCol w:w="1880"/>
      </w:tblGrid>
      <w:tr>
        <w:trPr>
          <w:tblHeader/>
        </w:trPr>
        <w:tc>
          <w:tcPr>
            <w:tcW w:type="dxa" w:w="28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Role</w:t>
            </w:r>
          </w:p>
        </w:tc>
        <w:tc>
          <w:tcPr>
            <w:tcW w:type="dxa" w:w="28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Name</w:t>
            </w:r>
          </w:p>
        </w:tc>
        <w:tc>
          <w:tcPr>
            <w:tcW w:type="dxa" w:w="188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Signature</w:t>
            </w:r>
          </w:p>
        </w:tc>
        <w:tc>
          <w:tcPr>
            <w:tcW w:type="dxa" w:w="188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Date</w:t>
            </w:r>
          </w:p>
        </w:tc>
      </w:tr>
      <w:tr>
        <w:tc>
          <w:tcPr>
            <w:tcW w:type="dxa" w:w="28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Sponsor Representative</w:t>
            </w:r>
          </w:p>
        </w:tc>
        <w:tc>
          <w:tcPr>
            <w:tcW w:type="dxa" w:w="28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188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188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8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Lead Biostatistician</w:t>
            </w:r>
          </w:p>
        </w:tc>
        <w:tc>
          <w:tcPr>
            <w:tcW w:type="dxa" w:w="28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188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188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8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Reviewing Biostatistician</w:t>
            </w:r>
          </w:p>
        </w:tc>
        <w:tc>
          <w:tcPr>
            <w:tcW w:type="dxa" w:w="28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188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188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bl>
    <w:p>
      <w:r>
        <w:br w:type="page"/>
      </w:r>
    </w:p>
    <w:p>
      <w:pPr>
        <w:pStyle w:val="Heading1"/>
      </w:pPr>
      <w:r>
        <w:rPr>
          <w:rFonts w:ascii="Arial" w:cs="Arial" w:eastAsia="Arial" w:hAnsi="Arial"/>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rFonts w:ascii="Arial" w:cs="Arial" w:eastAsia="Arial" w:hAnsi="Arial"/>
        </w:rPr>
        <w:t xml:space="preserve">List of Abbreviations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Abbreviation</w:t>
            </w:r>
          </w:p>
        </w:tc>
        <w:tc>
          <w:tcPr>
            <w:tcW w:type="dxa" w:w="69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Definition</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6MWT</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6-minute walk test</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AAV</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adeno-associated virus</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ADaM</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Analysis Data Model</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AE</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adverse event</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ALP</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alkaline phosphatase</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ALT</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alanine aminotransferase</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AST</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aspartate aminotransferase</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BNP</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B-type natriuretic peptide</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cI-1</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constitutively active inhibitor-1 of protein phosphatase 1</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CI</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confidence interval</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CPET</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cardiopulmonary exercise testing</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CSR</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Clinical Study Report</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CTCAE</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Common Terminology Criteria for Adverse Events</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DLT</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dose-limiting toxicity</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ECG</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electrocardiogram</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ELISpot</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enzyme-linked immunospot</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FAS</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Full Analysis Set</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GCP</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Good Clinical Practice</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HF</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heart failure</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ICC</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intraclass correlation coefficient</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ICH</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International Council for Harmonisation</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IFNγ</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interferon gamma</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ITT</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intent-to-treat</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KCCQ</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Kansas City Cardiomyopathy Questionnaire</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LTFU</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long-term follow-up</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LVAD</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left ventricular assist device</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LVEF</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left ventricular ejection fraction</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MedDRA</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Medical Dictionary for Regulatory Activities</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MLHFQ</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Minnesota Living with Heart Failure Questionnaire</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NAb</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neutralizing antibody</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NT-proBNP</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N-terminal pro-B-type natriuretic peptide</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NYHA</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New York Heart Association</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PCSA</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potentially clinically significant abnormality</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PLN</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phospholamban</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PP1</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protein phosphatase 1</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PT</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preferred term</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pVO2</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peak oxygen consumption</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rAAV-Cx</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recombinant cardiotropic adeno-associated virus (engineered capsid)</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SAE</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serious adverse event</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SAP</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statistical analysis plan</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SAS</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Statistical Analysis System</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SD</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standard deviation</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SOC</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system organ class</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TEAE</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treatment-emergent adverse event</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TLF</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tables, listings, and figures</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ULN</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upper limit of normal</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vg</w:t>
            </w:r>
          </w:p>
        </w:tc>
        <w:tc>
          <w:tcPr>
            <w:tcW w:type="dxa" w:w="6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vector genome(s)</w:t>
            </w:r>
          </w:p>
        </w:tc>
      </w:tr>
    </w:tbl>
    <w:p>
      <w:r>
        <w:br w:type="page"/>
      </w:r>
    </w:p>
    <w:p>
      <w:pPr>
        <w:pStyle w:val="Heading1"/>
        <w:numPr>
          <w:ilvl w:val="0"/>
          <w:numId w:val="2"/>
        </w:numPr>
      </w:pPr>
      <w:r>
        <w:rPr>
          <w:rFonts w:ascii="Arial" w:cs="Arial" w:eastAsia="Arial" w:hAnsi="Arial"/>
        </w:rPr>
        <w:t xml:space="preserve">Administrative Information</w:t>
      </w:r>
    </w:p>
    <w:p>
      <w:pPr>
        <w:pStyle w:val="Heading2"/>
        <w:numPr>
          <w:ilvl w:val="1"/>
          <w:numId w:val="2"/>
        </w:numPr>
      </w:pPr>
      <w:r>
        <w:rPr>
          <w:rFonts w:ascii="Arial" w:cs="Arial" w:eastAsia="Arial" w:hAnsi="Arial"/>
        </w:rPr>
        <w:t xml:space="preserve">Purpose and Scope</w:t>
      </w:r>
    </w:p>
    <w:p>
      <w:pPr>
        <w:spacing w:after="120" w:line="276"/>
      </w:pPr>
      <w:r>
        <w:rPr>
          <w:rFonts w:ascii="Arial" w:cs="Arial" w:eastAsia="Arial" w:hAnsi="Arial"/>
          <w:sz w:val="22"/>
          <w:szCs w:val="22"/>
        </w:rPr>
        <w:t xml:space="preserve">This Statistical Analysis Plan (SAP) describes the statistical methods for the analysis of data from Protocol HF-1002-CL-101. It was developed in accordance with ICH E9 (Statistical Principles for Clinical Trials) and the ICH E9(R1) addendum on estimands and sensitivity analysis. This SAP pre-specifies the analysis populations, the descriptive analyses of safety and preliminary efficacy, the handling of missing data, and the specifications for tables, listings, and figures (TLFs). It should be read together with the study protocol (Version 1.0, dated 06-Jun-2026).</w:t>
      </w:r>
    </w:p>
    <w:p>
      <w:pPr>
        <w:spacing w:after="120" w:line="276"/>
      </w:pPr>
      <w:r>
        <w:rPr>
          <w:rFonts w:ascii="Arial" w:cs="Arial" w:eastAsia="Arial" w:hAnsi="Arial"/>
          <w:sz w:val="22"/>
          <w:szCs w:val="22"/>
        </w:rPr>
        <w:t xml:space="preserve">Because this is a Phase 1, open-label, single-arm, dose-escalation study, all analyses are descriptive and no formal hypothesis testing is performed.</w:t>
      </w:r>
    </w:p>
    <w:p>
      <w:pPr>
        <w:pStyle w:val="Heading2"/>
        <w:numPr>
          <w:ilvl w:val="1"/>
          <w:numId w:val="2"/>
        </w:numPr>
      </w:pPr>
      <w:r>
        <w:rPr>
          <w:rFonts w:ascii="Arial" w:cs="Arial" w:eastAsia="Arial" w:hAnsi="Arial"/>
        </w:rPr>
        <w:t xml:space="preserve">Protocol Synopsis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Attribute</w:t>
            </w:r>
          </w:p>
        </w:tc>
        <w:tc>
          <w:tcPr>
            <w:tcW w:type="dxa" w:w="67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Description</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Title</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 Phase 1, Open-Label, Sequential Dose-Escalation Study of a Single Intracoronary Infusion of HF-1002 in Adults with Nonischemic Cardiomyopathy and NYHA Class III Heart Failure</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Protocol Number</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HF-1002-CL-101</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Phase</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1</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Study Design</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Open-label, single-arm, multicenter, sequential dose-escalation (3 dose cohorts) with a DLT window through Week 4 and safety review between cohorts</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Sponsor</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Corvexa Therapeutics, Inc. (fictional)</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Study Intervention</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HF-1002, a recombinant cardiotropic AAV (rAAV-Cx) encoding a constitutively active inhibitor-1 of PP1 (cI-1); single antegrade intracoronary infusion</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Primary Objective</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Evaluate the safety and tolerability of a single intracoronary infusion of HF-1002 over 12 months</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Primary Endpoint</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Incidence, severity (CTCAE v5.0), and relatedness of TEAEs and SAEs; incidence of DLTs; clinically significant changes from baseline in laboratory tests, vital signs, and 12-lead ECG through Month 12</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Planned Enrollment</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Up to 18 evaluable participants (up to 6 per cohort)</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Study Duration</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12-month primary observation period per participant; long-term follow-up through Month 36</w:t>
            </w:r>
          </w:p>
        </w:tc>
      </w:tr>
    </w:tbl>
    <w:p>
      <w:pPr>
        <w:pStyle w:val="Heading2"/>
        <w:numPr>
          <w:ilvl w:val="1"/>
          <w:numId w:val="2"/>
        </w:numPr>
      </w:pPr>
      <w:r>
        <w:rPr>
          <w:rFonts w:ascii="Arial" w:cs="Arial" w:eastAsia="Arial" w:hAnsi="Arial"/>
        </w:rPr>
        <w:t xml:space="preserve">Roles and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Role</w:t>
            </w:r>
          </w:p>
        </w:tc>
        <w:tc>
          <w:tcPr>
            <w:tcW w:type="dxa" w:w="63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Responsibility</w:t>
            </w:r>
          </w:p>
        </w:tc>
      </w:tr>
      <w:tr>
        <w:tc>
          <w:tcPr>
            <w:tcW w:type="dxa" w:w="3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Sponsor</w:t>
            </w:r>
          </w:p>
        </w:tc>
        <w:tc>
          <w:tcPr>
            <w:tcW w:type="dxa" w:w="63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Study oversight, SAP approval</w:t>
            </w:r>
          </w:p>
        </w:tc>
      </w:tr>
      <w:tr>
        <w:tc>
          <w:tcPr>
            <w:tcW w:type="dxa" w:w="3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Lead Biostatistician</w:t>
            </w:r>
          </w:p>
        </w:tc>
        <w:tc>
          <w:tcPr>
            <w:tcW w:type="dxa" w:w="63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SAP development, analysis oversight, CSR review</w:t>
            </w:r>
          </w:p>
        </w:tc>
      </w:tr>
      <w:tr>
        <w:tc>
          <w:tcPr>
            <w:tcW w:type="dxa" w:w="3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Statistical Programmer</w:t>
            </w:r>
          </w:p>
        </w:tc>
        <w:tc>
          <w:tcPr>
            <w:tcW w:type="dxa" w:w="63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Programming of analysis datasets and TLFs</w:t>
            </w:r>
          </w:p>
        </w:tc>
      </w:tr>
      <w:tr>
        <w:tc>
          <w:tcPr>
            <w:tcW w:type="dxa" w:w="3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Data Manager</w:t>
            </w:r>
          </w:p>
        </w:tc>
        <w:tc>
          <w:tcPr>
            <w:tcW w:type="dxa" w:w="63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Database lock, data quality</w:t>
            </w:r>
          </w:p>
        </w:tc>
      </w:tr>
      <w:tr>
        <w:tc>
          <w:tcPr>
            <w:tcW w:type="dxa" w:w="3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Medical Monitor</w:t>
            </w:r>
          </w:p>
        </w:tc>
        <w:tc>
          <w:tcPr>
            <w:tcW w:type="dxa" w:w="63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oversight, medical review</w:t>
            </w:r>
          </w:p>
        </w:tc>
      </w:tr>
      <w:tr>
        <w:tc>
          <w:tcPr>
            <w:tcW w:type="dxa" w:w="3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Review Committee</w:t>
            </w:r>
          </w:p>
        </w:tc>
        <w:tc>
          <w:tcPr>
            <w:tcW w:type="dxa" w:w="63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Review of cumulative safety data and dose-escalation decisions</w:t>
            </w:r>
          </w:p>
        </w:tc>
      </w:tr>
    </w:tbl>
    <w:p>
      <w:pPr>
        <w:pStyle w:val="Heading2"/>
        <w:numPr>
          <w:ilvl w:val="1"/>
          <w:numId w:val="2"/>
        </w:numPr>
      </w:pPr>
      <w:r>
        <w:rPr>
          <w:rFonts w:ascii="Arial" w:cs="Arial" w:eastAsia="Arial" w:hAnsi="Arial"/>
        </w:rPr>
        <w:t xml:space="preserve">Version History</w:t>
      </w:r>
    </w:p>
    <w:p>
      <w:pPr>
        <w:spacing w:after="120" w:line="276"/>
      </w:pPr>
      <w:r>
        <w:rPr>
          <w:rFonts w:ascii="Arial" w:cs="Arial" w:eastAsia="Arial" w:hAnsi="Arial"/>
          <w:sz w:val="22"/>
          <w:szCs w:val="22"/>
        </w:rPr>
        <w:t xml:space="preserve">Version history is maintained in the front matter of this document and updated with each amendment.</w:t>
      </w:r>
    </w:p>
    <w:p>
      <w:pPr>
        <w:pStyle w:val="Heading1"/>
        <w:numPr>
          <w:ilvl w:val="0"/>
          <w:numId w:val="2"/>
        </w:numPr>
      </w:pPr>
      <w:r>
        <w:rPr>
          <w:rFonts w:ascii="Arial" w:cs="Arial" w:eastAsia="Arial" w:hAnsi="Arial"/>
        </w:rPr>
        <w:t xml:space="preserve">Introduction</w:t>
      </w:r>
    </w:p>
    <w:p>
      <w:pPr>
        <w:pStyle w:val="Heading2"/>
        <w:numPr>
          <w:ilvl w:val="1"/>
          <w:numId w:val="2"/>
        </w:numPr>
      </w:pPr>
      <w:r>
        <w:rPr>
          <w:rFonts w:ascii="Arial" w:cs="Arial" w:eastAsia="Arial" w:hAnsi="Arial"/>
        </w:rPr>
        <w:t xml:space="preserve">Study Background</w:t>
      </w:r>
    </w:p>
    <w:p>
      <w:pPr>
        <w:spacing w:after="120" w:line="276"/>
      </w:pPr>
      <w:r>
        <w:rPr>
          <w:rFonts w:ascii="Arial" w:cs="Arial" w:eastAsia="Arial" w:hAnsi="Arial"/>
          <w:sz w:val="22"/>
          <w:szCs w:val="22"/>
        </w:rPr>
        <w:t xml:space="preserve">Heart failure with reduced ejection fraction remains a progressive and lethal condition despite guideline-directed medical therapy, and a substantial proportion of patients with nonischemic cardiomyopathy continue to deteriorate. Impaired sarcoplasmic reticulum calcium reuptake, driven in part by increased protein phosphatase 1 (PP1) activity and reduced phospholamban (PLN) phosphorylation, contributes to depressed contractility in the failing heart. HF-1002 is an investigational gene therapy comprising an engineered cardiotropic AAV capsid (rAAV-Cx) delivering a constitutively active inhibitor-1 of PP1 (cI-1) under a cardiac-selective promoter, intended to restore PLN phosphorylation and calcium handling.</w:t>
      </w:r>
    </w:p>
    <w:p>
      <w:pPr>
        <w:pStyle w:val="Heading2"/>
        <w:numPr>
          <w:ilvl w:val="1"/>
          <w:numId w:val="2"/>
        </w:numPr>
      </w:pPr>
      <w:r>
        <w:rPr>
          <w:rFonts w:ascii="Arial" w:cs="Arial" w:eastAsia="Arial" w:hAnsi="Arial"/>
        </w:rPr>
        <w:t xml:space="preserve">Study Rationale</w:t>
      </w:r>
    </w:p>
    <w:p>
      <w:pPr>
        <w:spacing w:after="120" w:line="276"/>
      </w:pPr>
      <w:r>
        <w:rPr>
          <w:rFonts w:ascii="Arial" w:cs="Arial" w:eastAsia="Arial" w:hAnsi="Arial"/>
          <w:sz w:val="22"/>
          <w:szCs w:val="22"/>
        </w:rPr>
        <w:t xml:space="preserve">This Phase 1 study characterizes the safety and tolerability of a single intracoronary infusion of HF-1002 across escalating doses and obtains preliminary signals of biologic activity to inform dose selection for future studies. There is no comparator arm; each participant serves as their own control through change-from-baseline summaries.</w:t>
      </w:r>
    </w:p>
    <w:p>
      <w:pPr>
        <w:pStyle w:val="Heading2"/>
        <w:numPr>
          <w:ilvl w:val="1"/>
          <w:numId w:val="2"/>
        </w:numPr>
      </w:pPr>
      <w:r>
        <w:rPr>
          <w:rFonts w:ascii="Arial" w:cs="Arial" w:eastAsia="Arial" w:hAnsi="Arial"/>
        </w:rPr>
        <w:t xml:space="preserve">SAP Finalization Timing</w:t>
      </w:r>
    </w:p>
    <w:p>
      <w:pPr>
        <w:spacing w:after="120" w:line="276"/>
      </w:pPr>
      <w:r>
        <w:rPr>
          <w:rFonts w:ascii="Arial" w:cs="Arial" w:eastAsia="Arial" w:hAnsi="Arial"/>
          <w:sz w:val="22"/>
          <w:szCs w:val="22"/>
        </w:rPr>
        <w:t xml:space="preserve">This SAP will be finalized prior to database lock. Any amendments after database lock will be documented with justification and identified as post-hoc.</w:t>
      </w:r>
    </w:p>
    <w:p>
      <w:pPr>
        <w:pStyle w:val="Heading1"/>
        <w:numPr>
          <w:ilvl w:val="0"/>
          <w:numId w:val="2"/>
        </w:numPr>
      </w:pPr>
      <w:r>
        <w:rPr>
          <w:rFonts w:ascii="Arial" w:cs="Arial" w:eastAsia="Arial" w:hAnsi="Arial"/>
        </w:rPr>
        <w:t xml:space="preserve">Study Objectives and Endpoints</w:t>
      </w:r>
    </w:p>
    <w:p>
      <w:pPr>
        <w:pStyle w:val="Heading2"/>
        <w:numPr>
          <w:ilvl w:val="1"/>
          <w:numId w:val="2"/>
        </w:numPr>
      </w:pPr>
      <w:r>
        <w:rPr>
          <w:rFonts w:ascii="Arial" w:cs="Arial" w:eastAsia="Arial" w:hAnsi="Arial"/>
        </w:rPr>
        <w:t xml:space="preserve">Primary Objective and Endpoints</w:t>
      </w:r>
    </w:p>
    <w:p>
      <w:pPr>
        <w:spacing w:after="120" w:line="276"/>
      </w:pPr>
      <w:r>
        <w:rPr>
          <w:rFonts w:ascii="Arial" w:cs="Arial" w:eastAsia="Arial" w:hAnsi="Arial"/>
          <w:b/>
          <w:bCs/>
          <w:sz w:val="22"/>
          <w:szCs w:val="22"/>
        </w:rPr>
        <w:t xml:space="preserve">Objective:</w:t>
      </w:r>
      <w:r>
        <w:rPr>
          <w:rFonts w:ascii="Arial" w:cs="Arial" w:eastAsia="Arial" w:hAnsi="Arial"/>
          <w:sz w:val="22"/>
          <w:szCs w:val="22"/>
        </w:rPr>
        <w:t xml:space="preserve"> Evaluate the safety and tolerability of a single intracoronary infusion of HF-1002 over a 12-month primary observation period.</w:t>
      </w:r>
    </w:p>
    <w:p>
      <w:pPr>
        <w:pStyle w:val="ListParagraph"/>
        <w:numPr>
          <w:ilvl w:val="0"/>
          <w:numId w:val="3"/>
        </w:numPr>
        <w:spacing w:after="60" w:line="276"/>
      </w:pPr>
      <w:r>
        <w:rPr>
          <w:rFonts w:ascii="Arial" w:cs="Arial" w:eastAsia="Arial" w:hAnsi="Arial"/>
          <w:sz w:val="22"/>
          <w:szCs w:val="22"/>
        </w:rPr>
        <w:t xml:space="preserve">Incidence, severity (CTCAE v5.0), and investigator-assessed relatedness of TEAEs and SAEs through Month 12.</w:t>
      </w:r>
    </w:p>
    <w:p>
      <w:pPr>
        <w:pStyle w:val="ListParagraph"/>
        <w:numPr>
          <w:ilvl w:val="0"/>
          <w:numId w:val="3"/>
        </w:numPr>
        <w:spacing w:after="60" w:line="276"/>
      </w:pPr>
      <w:r>
        <w:rPr>
          <w:rFonts w:ascii="Arial" w:cs="Arial" w:eastAsia="Arial" w:hAnsi="Arial"/>
          <w:sz w:val="22"/>
          <w:szCs w:val="22"/>
        </w:rPr>
        <w:t xml:space="preserve">Incidence of protocol-defined dose-limiting toxicities (DLTs) through the DLT window (Week 4).</w:t>
      </w:r>
    </w:p>
    <w:p>
      <w:pPr>
        <w:pStyle w:val="ListParagraph"/>
        <w:numPr>
          <w:ilvl w:val="0"/>
          <w:numId w:val="3"/>
        </w:numPr>
        <w:spacing w:after="60" w:line="276"/>
      </w:pPr>
      <w:r>
        <w:rPr>
          <w:rFonts w:ascii="Arial" w:cs="Arial" w:eastAsia="Arial" w:hAnsi="Arial"/>
          <w:sz w:val="22"/>
          <w:szCs w:val="22"/>
        </w:rPr>
        <w:t xml:space="preserve">Clinically significant changes from baseline in clinical laboratory parameters, vital signs, and 12-lead ECG through Month 12.</w:t>
      </w:r>
    </w:p>
    <w:p>
      <w:pPr>
        <w:pStyle w:val="Heading2"/>
        <w:numPr>
          <w:ilvl w:val="1"/>
          <w:numId w:val="2"/>
        </w:numPr>
      </w:pPr>
      <w:r>
        <w:rPr>
          <w:rFonts w:ascii="Arial" w:cs="Arial" w:eastAsia="Arial" w:hAnsi="Arial"/>
        </w:rPr>
        <w:t xml:space="preserve">Secondary Objective and Endpoints</w:t>
      </w:r>
    </w:p>
    <w:p>
      <w:pPr>
        <w:spacing w:after="120" w:line="276"/>
      </w:pPr>
      <w:r>
        <w:rPr>
          <w:rFonts w:ascii="Arial" w:cs="Arial" w:eastAsia="Arial" w:hAnsi="Arial"/>
          <w:b/>
          <w:bCs/>
          <w:sz w:val="22"/>
          <w:szCs w:val="22"/>
        </w:rPr>
        <w:t xml:space="preserve">Objective:</w:t>
      </w:r>
      <w:r>
        <w:rPr>
          <w:rFonts w:ascii="Arial" w:cs="Arial" w:eastAsia="Arial" w:hAnsi="Arial"/>
          <w:sz w:val="22"/>
          <w:szCs w:val="22"/>
        </w:rPr>
        <w:t xml:space="preserve"> Explore the preliminary efficacy of HF-1002 on cardiac function, functional capacity, and quality of life. Secondary endpoints are the change from baseline to Months 3, 6, and 12 in:</w:t>
      </w:r>
    </w:p>
    <w:p>
      <w:pPr>
        <w:pStyle w:val="ListParagraph"/>
        <w:numPr>
          <w:ilvl w:val="0"/>
          <w:numId w:val="3"/>
        </w:numPr>
        <w:spacing w:after="60" w:line="276"/>
      </w:pPr>
      <w:r>
        <w:rPr>
          <w:rFonts w:ascii="Arial" w:cs="Arial" w:eastAsia="Arial" w:hAnsi="Arial"/>
          <w:sz w:val="22"/>
          <w:szCs w:val="22"/>
        </w:rPr>
        <w:t xml:space="preserve">NYHA functional class.</w:t>
      </w:r>
    </w:p>
    <w:p>
      <w:pPr>
        <w:pStyle w:val="ListParagraph"/>
        <w:numPr>
          <w:ilvl w:val="0"/>
          <w:numId w:val="3"/>
        </w:numPr>
        <w:spacing w:after="60" w:line="276"/>
      </w:pPr>
      <w:r>
        <w:rPr>
          <w:rFonts w:ascii="Arial" w:cs="Arial" w:eastAsia="Arial" w:hAnsi="Arial"/>
          <w:sz w:val="22"/>
          <w:szCs w:val="22"/>
        </w:rPr>
        <w:t xml:space="preserve">LVEF assessed by a central echocardiography reader.</w:t>
      </w:r>
    </w:p>
    <w:p>
      <w:pPr>
        <w:pStyle w:val="ListParagraph"/>
        <w:numPr>
          <w:ilvl w:val="0"/>
          <w:numId w:val="3"/>
        </w:numPr>
        <w:spacing w:after="60" w:line="276"/>
      </w:pPr>
      <w:r>
        <w:rPr>
          <w:rFonts w:ascii="Arial" w:cs="Arial" w:eastAsia="Arial" w:hAnsi="Arial"/>
          <w:sz w:val="22"/>
          <w:szCs w:val="22"/>
        </w:rPr>
        <w:t xml:space="preserve">Peak oxygen consumption (pVO2) by cardiopulmonary exercise testing.</w:t>
      </w:r>
    </w:p>
    <w:p>
      <w:pPr>
        <w:pStyle w:val="ListParagraph"/>
        <w:numPr>
          <w:ilvl w:val="0"/>
          <w:numId w:val="3"/>
        </w:numPr>
        <w:spacing w:after="60" w:line="276"/>
      </w:pPr>
      <w:r>
        <w:rPr>
          <w:rFonts w:ascii="Arial" w:cs="Arial" w:eastAsia="Arial" w:hAnsi="Arial"/>
          <w:sz w:val="22"/>
          <w:szCs w:val="22"/>
        </w:rPr>
        <w:t xml:space="preserve">6-minute walk test (6MWT) distance.</w:t>
      </w:r>
    </w:p>
    <w:p>
      <w:pPr>
        <w:pStyle w:val="ListParagraph"/>
        <w:numPr>
          <w:ilvl w:val="0"/>
          <w:numId w:val="3"/>
        </w:numPr>
        <w:spacing w:after="60" w:line="276"/>
      </w:pPr>
      <w:r>
        <w:rPr>
          <w:rFonts w:ascii="Arial" w:cs="Arial" w:eastAsia="Arial" w:hAnsi="Arial"/>
          <w:sz w:val="22"/>
          <w:szCs w:val="22"/>
        </w:rPr>
        <w:t xml:space="preserve">MLHFQ total score (lower = better).</w:t>
      </w:r>
    </w:p>
    <w:p>
      <w:pPr>
        <w:pStyle w:val="ListParagraph"/>
        <w:numPr>
          <w:ilvl w:val="0"/>
          <w:numId w:val="3"/>
        </w:numPr>
        <w:spacing w:after="60" w:line="276"/>
      </w:pPr>
      <w:r>
        <w:rPr>
          <w:rFonts w:ascii="Arial" w:cs="Arial" w:eastAsia="Arial" w:hAnsi="Arial"/>
          <w:sz w:val="22"/>
          <w:szCs w:val="22"/>
        </w:rPr>
        <w:t xml:space="preserve">KCCQ overall summary score (higher = better).</w:t>
      </w:r>
    </w:p>
    <w:p>
      <w:pPr>
        <w:pStyle w:val="Heading2"/>
        <w:numPr>
          <w:ilvl w:val="1"/>
          <w:numId w:val="2"/>
        </w:numPr>
      </w:pPr>
      <w:r>
        <w:rPr>
          <w:rFonts w:ascii="Arial" w:cs="Arial" w:eastAsia="Arial" w:hAnsi="Arial"/>
        </w:rPr>
        <w:t xml:space="preserve">Exploratory Endpoints</w:t>
      </w:r>
    </w:p>
    <w:p>
      <w:pPr>
        <w:pStyle w:val="ListParagraph"/>
        <w:numPr>
          <w:ilvl w:val="0"/>
          <w:numId w:val="3"/>
        </w:numPr>
        <w:spacing w:after="60" w:line="276"/>
      </w:pPr>
      <w:r>
        <w:rPr>
          <w:rFonts w:ascii="Arial" w:cs="Arial" w:eastAsia="Arial" w:hAnsi="Arial"/>
          <w:sz w:val="22"/>
          <w:szCs w:val="22"/>
        </w:rPr>
        <w:t xml:space="preserve">Change from baseline in NT-proBNP/BNP and troponin I.</w:t>
      </w:r>
    </w:p>
    <w:p>
      <w:pPr>
        <w:pStyle w:val="ListParagraph"/>
        <w:numPr>
          <w:ilvl w:val="0"/>
          <w:numId w:val="3"/>
        </w:numPr>
        <w:spacing w:after="60" w:line="276"/>
      </w:pPr>
      <w:r>
        <w:rPr>
          <w:rFonts w:ascii="Arial" w:cs="Arial" w:eastAsia="Arial" w:hAnsi="Arial"/>
          <w:sz w:val="22"/>
          <w:szCs w:val="22"/>
        </w:rPr>
        <w:t xml:space="preserve">Change from baseline in complement C3 and C4.</w:t>
      </w:r>
    </w:p>
    <w:p>
      <w:pPr>
        <w:pStyle w:val="ListParagraph"/>
        <w:numPr>
          <w:ilvl w:val="0"/>
          <w:numId w:val="3"/>
        </w:numPr>
        <w:spacing w:after="60" w:line="276"/>
      </w:pPr>
      <w:r>
        <w:rPr>
          <w:rFonts w:ascii="Arial" w:cs="Arial" w:eastAsia="Arial" w:hAnsi="Arial"/>
          <w:sz w:val="22"/>
          <w:szCs w:val="22"/>
        </w:rPr>
        <w:t xml:space="preserve">Anti-AAV neutralizing antibody (NAb) titers over time.</w:t>
      </w:r>
    </w:p>
    <w:p>
      <w:pPr>
        <w:pStyle w:val="ListParagraph"/>
        <w:numPr>
          <w:ilvl w:val="0"/>
          <w:numId w:val="3"/>
        </w:numPr>
        <w:spacing w:after="60" w:line="276"/>
      </w:pPr>
      <w:r>
        <w:rPr>
          <w:rFonts w:ascii="Arial" w:cs="Arial" w:eastAsia="Arial" w:hAnsi="Arial"/>
          <w:sz w:val="22"/>
          <w:szCs w:val="22"/>
        </w:rPr>
        <w:t xml:space="preserve">IFNγ ELISpot responses to the rAAV-Cx capsid and to the cI-1 transgene over time.</w:t>
      </w:r>
    </w:p>
    <w:p>
      <w:pPr>
        <w:pStyle w:val="ListParagraph"/>
        <w:numPr>
          <w:ilvl w:val="0"/>
          <w:numId w:val="3"/>
        </w:numPr>
        <w:spacing w:after="60" w:line="276"/>
      </w:pPr>
      <w:r>
        <w:rPr>
          <w:rFonts w:ascii="Arial" w:cs="Arial" w:eastAsia="Arial" w:hAnsi="Arial"/>
          <w:sz w:val="22"/>
          <w:szCs w:val="22"/>
        </w:rPr>
        <w:t xml:space="preserve">In participants who provide optional cardiac tissue: myocardial vector genome copies per diploid genome and PLN Ser16 phosphorylation.</w:t>
      </w:r>
    </w:p>
    <w:p>
      <w:pPr>
        <w:pStyle w:val="Heading2"/>
        <w:numPr>
          <w:ilvl w:val="1"/>
          <w:numId w:val="2"/>
        </w:numPr>
      </w:pPr>
      <w:r>
        <w:rPr>
          <w:rFonts w:ascii="Arial" w:cs="Arial" w:eastAsia="Arial" w:hAnsi="Arial"/>
        </w:rPr>
        <w:t xml:space="preserve">Estimands (ICH E9(R1))</w:t>
      </w:r>
    </w:p>
    <w:p>
      <w:pPr>
        <w:spacing w:after="120" w:line="276"/>
      </w:pPr>
      <w:r>
        <w:rPr>
          <w:rFonts w:ascii="Arial" w:cs="Arial" w:eastAsia="Arial" w:hAnsi="Arial"/>
          <w:sz w:val="22"/>
          <w:szCs w:val="22"/>
        </w:rPr>
        <w:t xml:space="preserve">This is a single-arm, open-label, descriptive dose-finding study with no comparator and no formal hypothesis testing. A formal between-treatment estimand with a population-level contrast is therefore not applicable. To align with ICH E9(R1), the scientific questions for the primary objective and the key secondary efficacy endpoints are framed below using the estimand attributes, with the population-level summary expressed as a single-arm descriptive quantity rather than a treatment contrast.</w:t>
      </w:r>
    </w:p>
    <w:p>
      <w:pPr>
        <w:spacing w:after="60" w:before="120"/>
      </w:pPr>
      <w:r>
        <w:rPr>
          <w:rFonts w:ascii="Arial" w:cs="Arial" w:eastAsia="Arial" w:hAnsi="Arial"/>
          <w:b/>
          <w:bCs/>
          <w:sz w:val="22"/>
          <w:szCs w:val="22"/>
        </w:rPr>
        <w:t xml:space="preserve">Estimand for the primary safety objective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Attribute</w:t>
            </w:r>
          </w:p>
        </w:tc>
        <w:tc>
          <w:tcPr>
            <w:tcW w:type="dxa" w:w="67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Specification</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Treatment</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Single antegrade intracoronary infusion of HF-1002 at the assigned dose</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Population</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Adults with nonischemic dilated cardiomyopathy and NYHA class III heart failure who receive any amount of HF-1002 (Safety Set)</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Endpoint variable</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Participant-level occurrence and maximum severity of TEAEs/SAEs through Month 12 and of DLTs through Week 4</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Intercurrent event handling</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See table below</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Population-level summary</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Incidence (n, %) of participants with each event category, and event rates, by cohort and overall (no contrast)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000"/>
        <w:gridCol w:w="4360"/>
      </w:tblGrid>
      <w:tr>
        <w:trPr>
          <w:tblHeader/>
        </w:trPr>
        <w:tc>
          <w:tcPr>
            <w:tcW w:type="dxa" w:w="30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Intercurrent Event</w:t>
            </w:r>
          </w:p>
        </w:tc>
        <w:tc>
          <w:tcPr>
            <w:tcW w:type="dxa" w:w="20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Strategy</w:t>
            </w:r>
          </w:p>
        </w:tc>
        <w:tc>
          <w:tcPr>
            <w:tcW w:type="dxa" w:w="43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Rationale</w:t>
            </w:r>
          </w:p>
        </w:tc>
      </w:tr>
      <w:tr>
        <w:tc>
          <w:tcPr>
            <w:tcW w:type="dxa" w:w="3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Study discontinuation, withdrawal, or loss to follow-up</w:t>
            </w:r>
          </w:p>
        </w:tc>
        <w:tc>
          <w:tcPr>
            <w:tcW w:type="dxa" w:w="2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Treatment Policy</w:t>
            </w:r>
          </w:p>
        </w:tc>
        <w:tc>
          <w:tcPr>
            <w:tcW w:type="dxa" w:w="43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events after a single infusion are attributable to the product regardless of continued participation; counted to last contact</w:t>
            </w:r>
          </w:p>
        </w:tc>
      </w:tr>
      <w:tr>
        <w:tc>
          <w:tcPr>
            <w:tcW w:type="dxa" w:w="3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Death prior to Month 12</w:t>
            </w:r>
          </w:p>
        </w:tc>
        <w:tc>
          <w:tcPr>
            <w:tcW w:type="dxa" w:w="2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Composite</w:t>
            </w:r>
          </w:p>
        </w:tc>
        <w:tc>
          <w:tcPr>
            <w:tcW w:type="dxa" w:w="43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Death is itself a safety outcome and is counted as an event; deaths are also summarized separately</w:t>
            </w:r>
          </w:p>
        </w:tc>
      </w:tr>
      <w:tr>
        <w:tc>
          <w:tcPr>
            <w:tcW w:type="dxa" w:w="3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Cardiac transplant or LVAD implantation</w:t>
            </w:r>
          </w:p>
        </w:tc>
        <w:tc>
          <w:tcPr>
            <w:tcW w:type="dxa" w:w="2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Treatment Policy</w:t>
            </w:r>
          </w:p>
        </w:tc>
        <w:tc>
          <w:tcPr>
            <w:tcW w:type="dxa" w:w="43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Counted as events of interest; subsequent cardiac assessments no longer reflect the native heart</w:t>
            </w:r>
          </w:p>
        </w:tc>
      </w:tr>
    </w:tbl>
    <w:p>
      <w:pPr>
        <w:spacing w:after="80"/>
      </w:pPr>
    </w:p>
    <w:p>
      <w:pPr>
        <w:spacing w:after="60" w:before="120"/>
      </w:pPr>
      <w:r>
        <w:rPr>
          <w:rFonts w:ascii="Arial" w:cs="Arial" w:eastAsia="Arial" w:hAnsi="Arial"/>
          <w:b/>
          <w:bCs/>
          <w:sz w:val="22"/>
          <w:szCs w:val="22"/>
        </w:rPr>
        <w:t xml:space="preserve">Estimand for the key secondary efficacy endpoints (LVEF, pVO2, 6MWT, KCCQ, MLHFQ, NYHA)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Attribute</w:t>
            </w:r>
          </w:p>
        </w:tc>
        <w:tc>
          <w:tcPr>
            <w:tcW w:type="dxa" w:w="67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Specification</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Treatment</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Single antegrade intracoronary infusion of HF-1002 at the assigned dose</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Population</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Participants who receive the complete planned infusion (Full Analysis Set)</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Endpoint variable</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Within-participant change from baseline to Months 3, 6, and 12</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Intercurrent event handling</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See table below</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Population-level summary</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Mean (SD) and median change from baseline at each timepoint, by cohort and overall, with two-sided 95% CIs presented descriptively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000"/>
        <w:gridCol w:w="4360"/>
      </w:tblGrid>
      <w:tr>
        <w:trPr>
          <w:tblHeader/>
        </w:trPr>
        <w:tc>
          <w:tcPr>
            <w:tcW w:type="dxa" w:w="30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Intercurrent Event</w:t>
            </w:r>
          </w:p>
        </w:tc>
        <w:tc>
          <w:tcPr>
            <w:tcW w:type="dxa" w:w="20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Strategy</w:t>
            </w:r>
          </w:p>
        </w:tc>
        <w:tc>
          <w:tcPr>
            <w:tcW w:type="dxa" w:w="43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Rationale</w:t>
            </w:r>
          </w:p>
        </w:tc>
      </w:tr>
      <w:tr>
        <w:tc>
          <w:tcPr>
            <w:tcW w:type="dxa" w:w="3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Treatment for acute HF decompensation / addition of HF therapy</w:t>
            </w:r>
          </w:p>
        </w:tc>
        <w:tc>
          <w:tcPr>
            <w:tcW w:type="dxa" w:w="2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Treatment Policy</w:t>
            </w:r>
          </w:p>
        </w:tc>
        <w:tc>
          <w:tcPr>
            <w:tcW w:type="dxa" w:w="43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Real-world functional status is the quantity of interest; values used regardless of background therapy changes</w:t>
            </w:r>
          </w:p>
        </w:tc>
      </w:tr>
      <w:tr>
        <w:tc>
          <w:tcPr>
            <w:tcW w:type="dxa" w:w="3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Death, cardiac transplant, or LVAD before the assessment</w:t>
            </w:r>
          </w:p>
        </w:tc>
        <w:tc>
          <w:tcPr>
            <w:tcW w:type="dxa" w:w="2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While-on-Treatment</w:t>
            </w:r>
          </w:p>
        </w:tc>
        <w:tc>
          <w:tcPr>
            <w:tcW w:type="dxa" w:w="43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Post-event cardiac measurements do not reflect the native treated heart; participant contributes observed data up to the event</w:t>
            </w:r>
          </w:p>
        </w:tc>
      </w:tr>
      <w:tr>
        <w:tc>
          <w:tcPr>
            <w:tcW w:type="dxa" w:w="3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Missed assessment / unevaluable scan</w:t>
            </w:r>
          </w:p>
        </w:tc>
        <w:tc>
          <w:tcPr>
            <w:tcW w:type="dxa" w:w="2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Hypothetical</w:t>
            </w:r>
          </w:p>
        </w:tc>
        <w:tc>
          <w:tcPr>
            <w:tcW w:type="dxa" w:w="43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Target is the value that would have been observed; handled by observed-data summaries with contributing n reported at each timepoint (Section 9)</w:t>
            </w:r>
          </w:p>
        </w:tc>
      </w:tr>
    </w:tbl>
    <w:p>
      <w:pPr>
        <w:spacing w:after="80"/>
      </w:pPr>
    </w:p>
    <w:p>
      <w:pPr>
        <w:spacing w:after="120" w:line="276"/>
      </w:pPr>
      <w:r>
        <w:rPr>
          <w:rFonts w:ascii="Arial" w:cs="Arial" w:eastAsia="Arial" w:hAnsi="Arial"/>
          <w:sz w:val="22"/>
          <w:szCs w:val="22"/>
        </w:rPr>
        <w:t xml:space="preserve">Because efficacy endpoints are exploratory and summarized descriptively, no confirmatory sensitivity analyses are required. Attrition and the number of participants contributing to each summary are reported at every timepoint as a supportive description of robustness.</w:t>
      </w:r>
    </w:p>
    <w:p>
      <w:pPr>
        <w:pStyle w:val="Heading1"/>
        <w:numPr>
          <w:ilvl w:val="0"/>
          <w:numId w:val="2"/>
        </w:numPr>
      </w:pPr>
      <w:r>
        <w:rPr>
          <w:rFonts w:ascii="Arial" w:cs="Arial" w:eastAsia="Arial" w:hAnsi="Arial"/>
        </w:rPr>
        <w:t xml:space="preserve">Study Design</w:t>
      </w:r>
    </w:p>
    <w:p>
      <w:pPr>
        <w:pStyle w:val="Heading2"/>
        <w:numPr>
          <w:ilvl w:val="1"/>
          <w:numId w:val="2"/>
        </w:numPr>
      </w:pPr>
      <w:r>
        <w:rPr>
          <w:rFonts w:ascii="Arial" w:cs="Arial" w:eastAsia="Arial" w:hAnsi="Arial"/>
        </w:rPr>
        <w:t xml:space="preserve">Overall Design</w:t>
      </w:r>
    </w:p>
    <w:p>
      <w:pPr>
        <w:spacing w:after="120" w:line="276"/>
      </w:pPr>
      <w:r>
        <w:rPr>
          <w:rFonts w:ascii="Arial" w:cs="Arial" w:eastAsia="Arial" w:hAnsi="Arial"/>
          <w:sz w:val="22"/>
          <w:szCs w:val="22"/>
        </w:rPr>
        <w:t xml:space="preserve">This is a Phase 1, open-label, single-arm, multicenter, sequential dose-escalation study of a single antegrade intracoronary infusion of HF-1002 in adults with nonischemic cardiomyopathy and NYHA class III heart failure, conducted at up to 4 sites in the USA.</w:t>
      </w:r>
    </w:p>
    <w:p>
      <w:pPr>
        <w:pStyle w:val="Heading2"/>
        <w:numPr>
          <w:ilvl w:val="1"/>
          <w:numId w:val="2"/>
        </w:numPr>
      </w:pPr>
      <w:r>
        <w:rPr>
          <w:rFonts w:ascii="Arial" w:cs="Arial" w:eastAsia="Arial" w:hAnsi="Arial"/>
        </w:rPr>
        <w:t xml:space="preserve">Study Schema</w:t>
      </w:r>
    </w:p>
    <w:p>
      <w:pPr>
        <w:spacing w:after="120" w:line="276"/>
      </w:pPr>
      <w:r>
        <w:rPr>
          <w:rFonts w:ascii="Arial" w:cs="Arial" w:eastAsia="Arial" w:hAnsi="Arial"/>
          <w:sz w:val="22"/>
          <w:szCs w:val="22"/>
        </w:rPr>
        <w:t xml:space="preserve">Screening (Day -28 to -1) leads to a single intracoronary infusion (Day 1), then the primary observation period (Day 1 to Month 12), then long-term follow-up by telephone (Months 18, 24, 30, and 36).</w:t>
      </w:r>
    </w:p>
    <w:p>
      <w:pPr>
        <w:pStyle w:val="Heading2"/>
        <w:numPr>
          <w:ilvl w:val="1"/>
          <w:numId w:val="2"/>
        </w:numPr>
      </w:pPr>
      <w:r>
        <w:rPr>
          <w:rFonts w:ascii="Arial" w:cs="Arial" w:eastAsia="Arial" w:hAnsi="Arial"/>
        </w:rPr>
        <w:t xml:space="preserve">Dose Cohorts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360"/>
        <w:gridCol w:w="4000"/>
      </w:tblGrid>
      <w:tr>
        <w:trPr>
          <w:tblHeader/>
        </w:trPr>
        <w:tc>
          <w:tcPr>
            <w:tcW w:type="dxa" w:w="20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Cohort</w:t>
            </w:r>
          </w:p>
        </w:tc>
        <w:tc>
          <w:tcPr>
            <w:tcW w:type="dxa" w:w="33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Dose (vg)</w:t>
            </w:r>
          </w:p>
        </w:tc>
        <w:tc>
          <w:tcPr>
            <w:tcW w:type="dxa" w:w="40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Planned n</w:t>
            </w:r>
          </w:p>
        </w:tc>
      </w:tr>
      <w:tr>
        <w:tc>
          <w:tcPr>
            <w:tcW w:type="dxa" w:w="2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1 (low)</w:t>
            </w:r>
          </w:p>
        </w:tc>
        <w:tc>
          <w:tcPr>
            <w:tcW w:type="dxa" w:w="33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3.0 × 10¹³</w:t>
            </w:r>
          </w:p>
        </w:tc>
        <w:tc>
          <w:tcPr>
            <w:tcW w:type="dxa" w:w="4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3 (expandable to 6)</w:t>
            </w:r>
          </w:p>
        </w:tc>
      </w:tr>
      <w:tr>
        <w:tc>
          <w:tcPr>
            <w:tcW w:type="dxa" w:w="2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2 (mid)</w:t>
            </w:r>
          </w:p>
        </w:tc>
        <w:tc>
          <w:tcPr>
            <w:tcW w:type="dxa" w:w="33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1.0 × 10¹⁴</w:t>
            </w:r>
          </w:p>
        </w:tc>
        <w:tc>
          <w:tcPr>
            <w:tcW w:type="dxa" w:w="4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up to 6</w:t>
            </w:r>
          </w:p>
        </w:tc>
      </w:tr>
      <w:tr>
        <w:tc>
          <w:tcPr>
            <w:tcW w:type="dxa" w:w="2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3 (high)</w:t>
            </w:r>
          </w:p>
        </w:tc>
        <w:tc>
          <w:tcPr>
            <w:tcW w:type="dxa" w:w="33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3.0 × 10¹⁴</w:t>
            </w:r>
          </w:p>
        </w:tc>
        <w:tc>
          <w:tcPr>
            <w:tcW w:type="dxa" w:w="4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up to 6</w:t>
            </w:r>
          </w:p>
        </w:tc>
      </w:tr>
    </w:tbl>
    <w:p>
      <w:pPr>
        <w:pStyle w:val="Heading2"/>
        <w:numPr>
          <w:ilvl w:val="1"/>
          <w:numId w:val="2"/>
        </w:numPr>
      </w:pPr>
      <w:r>
        <w:rPr>
          <w:rFonts w:ascii="Arial" w:cs="Arial" w:eastAsia="Arial" w:hAnsi="Arial"/>
        </w:rPr>
        <w:t xml:space="preserve">Dose Escalation</w:t>
      </w:r>
    </w:p>
    <w:p>
      <w:pPr>
        <w:spacing w:after="120" w:line="276"/>
      </w:pPr>
      <w:r>
        <w:rPr>
          <w:rFonts w:ascii="Arial" w:cs="Arial" w:eastAsia="Arial" w:hAnsi="Arial"/>
          <w:sz w:val="22"/>
          <w:szCs w:val="22"/>
        </w:rPr>
        <w:t xml:space="preserve">Cohorts are enrolled sequentially. Cohort 1 enrolls 3 participants; if 1 of 3 experiences a DLT, the cohort is expanded to 6. Escalation to the next dose level requires that no more than 1 of up to 6 participants in the current cohort experiences a DLT during the DLT window. If 2 or more participants in a cohort experience a DLT, enrollment is paused and escalation halted pending Safety Review Committee review. The Sponsor may expand any cohort up to 6 participants in lieu of escalation. Up to 18 evaluable participants will be enrolled.</w:t>
      </w:r>
    </w:p>
    <w:p>
      <w:pPr>
        <w:pStyle w:val="Heading2"/>
        <w:numPr>
          <w:ilvl w:val="1"/>
          <w:numId w:val="2"/>
        </w:numPr>
      </w:pPr>
      <w:r>
        <w:rPr>
          <w:rFonts w:ascii="Arial" w:cs="Arial" w:eastAsia="Arial" w:hAnsi="Arial"/>
        </w:rPr>
        <w:t xml:space="preserve">Blinding</w:t>
      </w:r>
    </w:p>
    <w:p>
      <w:pPr>
        <w:spacing w:after="120" w:line="276"/>
      </w:pPr>
      <w:r>
        <w:rPr>
          <w:rFonts w:ascii="Arial" w:cs="Arial" w:eastAsia="Arial" w:hAnsi="Arial"/>
          <w:sz w:val="22"/>
          <w:szCs w:val="22"/>
        </w:rPr>
        <w:t xml:space="preserve">This is an open-label study; no blinding of treatment assignment is performed. To reduce interobserver variability, LVEF is read by a central echocardiography reader blinded to visit and local read, in addition to the local read.</w:t>
      </w:r>
    </w:p>
    <w:p>
      <w:pPr>
        <w:pStyle w:val="Heading1"/>
        <w:numPr>
          <w:ilvl w:val="0"/>
          <w:numId w:val="2"/>
        </w:numPr>
      </w:pPr>
      <w:r>
        <w:rPr>
          <w:rFonts w:ascii="Arial" w:cs="Arial" w:eastAsia="Arial" w:hAnsi="Arial"/>
        </w:rPr>
        <w:t xml:space="preserve">Analysis Populations</w:t>
      </w:r>
    </w:p>
    <w:p>
      <w:pPr>
        <w:spacing w:after="120" w:line="276"/>
      </w:pPr>
      <w:r>
        <w:rPr>
          <w:rFonts w:ascii="Arial" w:cs="Arial" w:eastAsia="Arial" w:hAnsi="Arial"/>
          <w:sz w:val="22"/>
          <w:szCs w:val="22"/>
        </w:rPr>
        <w:t xml:space="preserve">This single-arm study does not randomize participants; the Full Analysis Set is the primary efficacy analysis population and serves the role analogous to the intent-to-treat (ITT) population in a controlled trial.</w:t>
      </w:r>
    </w:p>
    <w:p>
      <w:pPr>
        <w:pStyle w:val="Heading2"/>
        <w:numPr>
          <w:ilvl w:val="1"/>
          <w:numId w:val="2"/>
        </w:numPr>
      </w:pPr>
      <w:r>
        <w:rPr>
          <w:rFonts w:ascii="Arial" w:cs="Arial" w:eastAsia="Arial" w:hAnsi="Arial"/>
        </w:rPr>
        <w:t xml:space="preserve">Enrolled Set</w:t>
      </w:r>
    </w:p>
    <w:p>
      <w:pPr>
        <w:spacing w:after="120" w:line="276"/>
      </w:pPr>
      <w:r>
        <w:rPr>
          <w:rFonts w:ascii="Arial" w:cs="Arial" w:eastAsia="Arial" w:hAnsi="Arial"/>
          <w:sz w:val="22"/>
          <w:szCs w:val="22"/>
        </w:rPr>
        <w:t xml:space="preserve">All participants who sign informed consent and meet eligibility criteria.</w:t>
      </w:r>
    </w:p>
    <w:p>
      <w:pPr>
        <w:pStyle w:val="Heading2"/>
        <w:numPr>
          <w:ilvl w:val="1"/>
          <w:numId w:val="2"/>
        </w:numPr>
      </w:pPr>
      <w:r>
        <w:rPr>
          <w:rFonts w:ascii="Arial" w:cs="Arial" w:eastAsia="Arial" w:hAnsi="Arial"/>
        </w:rPr>
        <w:t xml:space="preserve">Safety Set</w:t>
      </w:r>
    </w:p>
    <w:p>
      <w:pPr>
        <w:spacing w:after="120" w:line="276"/>
      </w:pPr>
      <w:r>
        <w:rPr>
          <w:rFonts w:ascii="Arial" w:cs="Arial" w:eastAsia="Arial" w:hAnsi="Arial"/>
          <w:sz w:val="22"/>
          <w:szCs w:val="22"/>
        </w:rPr>
        <w:t xml:space="preserve">All participants who receive any amount of HF-1002. This is the primary population for all safety summaries; participants are analyzed according to the dose actually received.</w:t>
      </w:r>
    </w:p>
    <w:p>
      <w:pPr>
        <w:pStyle w:val="Heading2"/>
        <w:numPr>
          <w:ilvl w:val="1"/>
          <w:numId w:val="2"/>
        </w:numPr>
      </w:pPr>
      <w:r>
        <w:rPr>
          <w:rFonts w:ascii="Arial" w:cs="Arial" w:eastAsia="Arial" w:hAnsi="Arial"/>
        </w:rPr>
        <w:t xml:space="preserve">DLT-Evaluable Set</w:t>
      </w:r>
    </w:p>
    <w:p>
      <w:pPr>
        <w:spacing w:after="120" w:line="276"/>
      </w:pPr>
      <w:r>
        <w:rPr>
          <w:rFonts w:ascii="Arial" w:cs="Arial" w:eastAsia="Arial" w:hAnsi="Arial"/>
          <w:sz w:val="22"/>
          <w:szCs w:val="22"/>
        </w:rPr>
        <w:t xml:space="preserve">All Safety Set participants who complete the DLT window (Day 1 through Week 4) or experience a DLT within it. This is the population for dose-escalation decisions.</w:t>
      </w:r>
    </w:p>
    <w:p>
      <w:pPr>
        <w:pStyle w:val="Heading2"/>
        <w:numPr>
          <w:ilvl w:val="1"/>
          <w:numId w:val="2"/>
        </w:numPr>
      </w:pPr>
      <w:r>
        <w:rPr>
          <w:rFonts w:ascii="Arial" w:cs="Arial" w:eastAsia="Arial" w:hAnsi="Arial"/>
        </w:rPr>
        <w:t xml:space="preserve">Full Analysis Set (FAS)</w:t>
      </w:r>
    </w:p>
    <w:p>
      <w:pPr>
        <w:spacing w:after="120" w:line="276"/>
      </w:pPr>
      <w:r>
        <w:rPr>
          <w:rFonts w:ascii="Arial" w:cs="Arial" w:eastAsia="Arial" w:hAnsi="Arial"/>
          <w:sz w:val="22"/>
          <w:szCs w:val="22"/>
        </w:rPr>
        <w:t xml:space="preserve">All participants who receive the complete planned infusion. This is the primary population for all efficacy and biomarker summaries.</w:t>
      </w:r>
    </w:p>
    <w:p>
      <w:pPr>
        <w:pStyle w:val="Heading2"/>
        <w:numPr>
          <w:ilvl w:val="1"/>
          <w:numId w:val="2"/>
        </w:numPr>
      </w:pPr>
      <w:r>
        <w:rPr>
          <w:rFonts w:ascii="Arial" w:cs="Arial" w:eastAsia="Arial" w:hAnsi="Arial"/>
        </w:rPr>
        <w:t xml:space="preserve">Population Assignment</w:t>
      </w:r>
    </w:p>
    <w:p>
      <w:pPr>
        <w:spacing w:after="120" w:line="276"/>
      </w:pPr>
      <w:r>
        <w:rPr>
          <w:rFonts w:ascii="Arial" w:cs="Arial" w:eastAsia="Arial" w:hAnsi="Arial"/>
          <w:sz w:val="22"/>
          <w:szCs w:val="22"/>
        </w:rPr>
        <w:t xml:space="preserve">Population assignment will be finalized and documented prior to database lock.</w:t>
      </w:r>
    </w:p>
    <w:p>
      <w:pPr>
        <w:pStyle w:val="Heading1"/>
        <w:numPr>
          <w:ilvl w:val="0"/>
          <w:numId w:val="2"/>
        </w:numPr>
      </w:pPr>
      <w:r>
        <w:rPr>
          <w:rFonts w:ascii="Arial" w:cs="Arial" w:eastAsia="Arial" w:hAnsi="Arial"/>
        </w:rPr>
        <w:t xml:space="preserve">Statistical Methods</w:t>
      </w:r>
    </w:p>
    <w:p>
      <w:pPr>
        <w:pStyle w:val="Heading2"/>
        <w:numPr>
          <w:ilvl w:val="1"/>
          <w:numId w:val="2"/>
        </w:numPr>
      </w:pPr>
      <w:r>
        <w:rPr>
          <w:rFonts w:ascii="Arial" w:cs="Arial" w:eastAsia="Arial" w:hAnsi="Arial"/>
        </w:rPr>
        <w:t xml:space="preserve">General Considerations</w:t>
      </w:r>
    </w:p>
    <w:p>
      <w:pPr>
        <w:spacing w:after="120" w:line="276"/>
      </w:pPr>
      <w:r>
        <w:rPr>
          <w:rFonts w:ascii="Arial" w:cs="Arial" w:eastAsia="Arial" w:hAnsi="Arial"/>
          <w:b/>
          <w:bCs/>
          <w:sz w:val="22"/>
          <w:szCs w:val="22"/>
        </w:rPr>
        <w:t xml:space="preserve">Software:</w:t>
      </w:r>
      <w:r>
        <w:rPr>
          <w:rFonts w:ascii="Arial" w:cs="Arial" w:eastAsia="Arial" w:hAnsi="Arial"/>
          <w:sz w:val="22"/>
          <w:szCs w:val="22"/>
        </w:rPr>
        <w:t xml:space="preserve"> SAS version 9.4 or an equivalent validated environment (for example, R 4.x or Python). Descriptive confidence intervals, where presented, are two-sided 95% CIs. No formal hypothesis testing is performed.</w:t>
      </w:r>
    </w:p>
    <w:p>
      <w:pPr>
        <w:pStyle w:val="Heading2"/>
        <w:numPr>
          <w:ilvl w:val="1"/>
          <w:numId w:val="2"/>
        </w:numPr>
      </w:pPr>
      <w:r>
        <w:rPr>
          <w:rFonts w:ascii="Arial" w:cs="Arial" w:eastAsia="Arial" w:hAnsi="Arial"/>
        </w:rPr>
        <w:t xml:space="preserve">General Principles</w:t>
      </w:r>
    </w:p>
    <w:p>
      <w:pPr>
        <w:spacing w:after="120" w:line="276"/>
      </w:pPr>
      <w:r>
        <w:rPr>
          <w:rFonts w:ascii="Arial" w:cs="Arial" w:eastAsia="Arial" w:hAnsi="Arial"/>
          <w:sz w:val="22"/>
          <w:szCs w:val="22"/>
        </w:rPr>
        <w:t xml:space="preserve">All analyses are descriptive. Data are summarized by cohort and overall. Continuous variables are summarized with n, mean, standard deviation (SD), median, minimum, and maximum. Categorical variables are summarized with counts and percentages. For efficacy and biomarker measures, both observed values and change from baseline are summarized at each scheduled timepoint.</w:t>
      </w:r>
    </w:p>
    <w:p>
      <w:pPr>
        <w:pStyle w:val="Heading2"/>
        <w:numPr>
          <w:ilvl w:val="1"/>
          <w:numId w:val="2"/>
        </w:numPr>
      </w:pPr>
      <w:r>
        <w:rPr>
          <w:rFonts w:ascii="Arial" w:cs="Arial" w:eastAsia="Arial" w:hAnsi="Arial"/>
        </w:rPr>
        <w:t xml:space="preserve">Significance Level and Multiplicity</w:t>
      </w:r>
    </w:p>
    <w:p>
      <w:pPr>
        <w:spacing w:after="120" w:line="276"/>
      </w:pPr>
      <w:r>
        <w:rPr>
          <w:rFonts w:ascii="Arial" w:cs="Arial" w:eastAsia="Arial" w:hAnsi="Arial"/>
          <w:sz w:val="22"/>
          <w:szCs w:val="22"/>
        </w:rPr>
        <w:t xml:space="preserve">Because the study is descriptive and dose-finding, no type I error rate is controlled and no multiplicity adjustment is applied. Where a two-sided 95% confidence interval is presented for description, it corresponds to a nominal alpha = 0.05; this alpha is descriptive only and is neither spent nor controlled for any decision. Statistical power is not applicable because no hypothesis test is performed; the operating characteristics of the study derive from the cohort size and the dose-escalation rules (Section 4.4), not from a power calculation. Any p-values or 95% CIs in exploratory displays are nominal and interpreted descriptively only.</w:t>
      </w:r>
    </w:p>
    <w:p>
      <w:pPr>
        <w:pStyle w:val="Heading2"/>
        <w:numPr>
          <w:ilvl w:val="1"/>
          <w:numId w:val="2"/>
        </w:numPr>
      </w:pPr>
      <w:r>
        <w:rPr>
          <w:rFonts w:ascii="Arial" w:cs="Arial" w:eastAsia="Arial" w:hAnsi="Arial"/>
        </w:rPr>
        <w:t xml:space="preserve">Descriptive Statistics</w:t>
      </w:r>
    </w:p>
    <w:p>
      <w:pPr>
        <w:spacing w:after="120" w:line="276"/>
      </w:pPr>
      <w:r>
        <w:rPr>
          <w:rFonts w:ascii="Arial" w:cs="Arial" w:eastAsia="Arial" w:hAnsi="Arial"/>
          <w:sz w:val="22"/>
          <w:szCs w:val="22"/>
        </w:rPr>
        <w:t xml:space="preserve">Continuous: n, mean, SD, median, min, max. Categorical: n, percentage. Selected biomarker measures (e.g., NT-proBNP, NAb titers, vector genome copies) may be presented on a logarithmic scale.</w:t>
      </w:r>
    </w:p>
    <w:p>
      <w:pPr>
        <w:pStyle w:val="Heading1"/>
        <w:numPr>
          <w:ilvl w:val="0"/>
          <w:numId w:val="2"/>
        </w:numPr>
      </w:pPr>
      <w:r>
        <w:rPr>
          <w:rFonts w:ascii="Arial" w:cs="Arial" w:eastAsia="Arial" w:hAnsi="Arial"/>
        </w:rPr>
        <w:t xml:space="preserve">Sample Size and Power</w:t>
      </w:r>
    </w:p>
    <w:p>
      <w:pPr>
        <w:spacing w:after="120" w:line="276"/>
      </w:pPr>
      <w:r>
        <w:rPr>
          <w:rFonts w:ascii="Arial" w:cs="Arial" w:eastAsia="Arial" w:hAnsi="Arial"/>
          <w:sz w:val="22"/>
          <w:szCs w:val="22"/>
        </w:rPr>
        <w:t xml:space="preserve">No sample size calculation was performed. The planned sample of up to 18 participants (up to 6 per cohort) is based on feasibility and is conventional for a first-in-human dose-escalation study. Because the study is descriptive with no formal hypothesis test, statistical power and a target effect size are not applicable. The cohort size and 3+3-style expansion/escalation rules (Section 4.4) determine the operating characteristics of the dose-escalation decision rather than a power calculation.</w:t>
      </w:r>
    </w:p>
    <w:p>
      <w:pPr>
        <w:pStyle w:val="Heading1"/>
        <w:numPr>
          <w:ilvl w:val="0"/>
          <w:numId w:val="2"/>
        </w:numPr>
      </w:pPr>
      <w:r>
        <w:rPr>
          <w:rFonts w:ascii="Arial" w:cs="Arial" w:eastAsia="Arial" w:hAnsi="Arial"/>
        </w:rPr>
        <w:t xml:space="preserve">Interim Analyses</w:t>
      </w:r>
    </w:p>
    <w:p>
      <w:pPr>
        <w:spacing w:after="120" w:line="276"/>
      </w:pPr>
      <w:r>
        <w:rPr>
          <w:rFonts w:ascii="Arial" w:cs="Arial" w:eastAsia="Arial" w:hAnsi="Arial"/>
          <w:sz w:val="22"/>
          <w:szCs w:val="22"/>
        </w:rPr>
        <w:t xml:space="preserve">No formal interim efficacy analysis is planned. Cumulative safety data through the DLT window are reviewed by the Safety Review Committee before each dose-escalation decision; these reviews are operational safety reviews, not inferential interim analyses, and no alpha is spent. The Safety Review Committee comprises the study investigators and an independent cardiologist and operates under a separate charter; it may recommend cohort expansion, dose modification, pause, or termination.</w:t>
      </w:r>
    </w:p>
    <w:p>
      <w:pPr>
        <w:pStyle w:val="Heading1"/>
        <w:numPr>
          <w:ilvl w:val="0"/>
          <w:numId w:val="2"/>
        </w:numPr>
      </w:pPr>
      <w:r>
        <w:rPr>
          <w:rFonts w:ascii="Arial" w:cs="Arial" w:eastAsia="Arial" w:hAnsi="Arial"/>
        </w:rPr>
        <w:t xml:space="preserve">Missing Data</w:t>
      </w:r>
    </w:p>
    <w:p>
      <w:pPr>
        <w:pStyle w:val="Heading2"/>
        <w:numPr>
          <w:ilvl w:val="1"/>
          <w:numId w:val="2"/>
        </w:numPr>
      </w:pPr>
      <w:r>
        <w:rPr>
          <w:rFonts w:ascii="Arial" w:cs="Arial" w:eastAsia="Arial" w:hAnsi="Arial"/>
        </w:rPr>
        <w:t xml:space="preserve">Anticipated Missing Data</w:t>
      </w:r>
    </w:p>
    <w:p>
      <w:pPr>
        <w:spacing w:after="120" w:line="276"/>
      </w:pPr>
      <w:r>
        <w:rPr>
          <w:rFonts w:ascii="Arial" w:cs="Arial" w:eastAsia="Arial" w:hAnsi="Arial"/>
          <w:sz w:val="22"/>
          <w:szCs w:val="22"/>
        </w:rPr>
        <w:t xml:space="preserve">Participant withdrawal or loss to follow-up, missed visits, missing individual assessments, and unevaluable assessments (e.g., non-diagnostic echocardiograms or exercise tests that cannot be completed).</w:t>
      </w:r>
    </w:p>
    <w:p>
      <w:pPr>
        <w:pStyle w:val="Heading2"/>
        <w:numPr>
          <w:ilvl w:val="1"/>
          <w:numId w:val="2"/>
        </w:numPr>
      </w:pPr>
      <w:r>
        <w:rPr>
          <w:rFonts w:ascii="Arial" w:cs="Arial" w:eastAsia="Arial" w:hAnsi="Arial"/>
        </w:rPr>
        <w:t xml:space="preserve">Handling of Missing Data</w:t>
      </w:r>
    </w:p>
    <w:p>
      <w:pPr>
        <w:spacing w:after="120" w:line="276"/>
      </w:pPr>
      <w:r>
        <w:rPr>
          <w:rFonts w:ascii="Arial" w:cs="Arial" w:eastAsia="Arial" w:hAnsi="Arial"/>
          <w:sz w:val="22"/>
          <w:szCs w:val="22"/>
        </w:rPr>
        <w:t xml:space="preserve">No imputation is performed. All analyses are based on observed data. The number of participants contributing to each summary is reported at every timepoint so that attrition is transparent.</w:t>
      </w:r>
    </w:p>
    <w:p>
      <w:pPr>
        <w:pStyle w:val="Heading2"/>
        <w:numPr>
          <w:ilvl w:val="1"/>
          <w:numId w:val="2"/>
        </w:numPr>
      </w:pPr>
      <w:r>
        <w:rPr>
          <w:rFonts w:ascii="Arial" w:cs="Arial" w:eastAsia="Arial" w:hAnsi="Arial"/>
        </w:rPr>
        <w:t xml:space="preserve">Sensitivity Analyses</w:t>
      </w:r>
    </w:p>
    <w:p>
      <w:pPr>
        <w:spacing w:after="120" w:line="276"/>
      </w:pPr>
      <w:r>
        <w:rPr>
          <w:rFonts w:ascii="Arial" w:cs="Arial" w:eastAsia="Arial" w:hAnsi="Arial"/>
          <w:sz w:val="22"/>
          <w:szCs w:val="22"/>
        </w:rPr>
        <w:t xml:space="preserve">Because all efficacy analyses are exploratory and descriptive, no formal missing-data sensitivity analyses (e.g., tipping-point or pattern-mixture models) are pre-specified. Observed-case summaries with reported denominators serve as the description of robustness.</w:t>
      </w:r>
    </w:p>
    <w:p>
      <w:pPr>
        <w:pStyle w:val="Heading1"/>
        <w:numPr>
          <w:ilvl w:val="0"/>
          <w:numId w:val="2"/>
        </w:numPr>
      </w:pPr>
      <w:r>
        <w:rPr>
          <w:rFonts w:ascii="Arial" w:cs="Arial" w:eastAsia="Arial" w:hAnsi="Arial"/>
        </w:rPr>
        <w:t xml:space="preserve">Safety Analyses</w:t>
      </w:r>
    </w:p>
    <w:p>
      <w:pPr>
        <w:pStyle w:val="Heading2"/>
        <w:numPr>
          <w:ilvl w:val="1"/>
          <w:numId w:val="2"/>
        </w:numPr>
      </w:pPr>
      <w:r>
        <w:rPr>
          <w:rFonts w:ascii="Arial" w:cs="Arial" w:eastAsia="Arial" w:hAnsi="Arial"/>
        </w:rPr>
        <w:t xml:space="preserve">Safety Population</w:t>
      </w:r>
    </w:p>
    <w:p>
      <w:pPr>
        <w:spacing w:after="120" w:line="276"/>
      </w:pPr>
      <w:r>
        <w:rPr>
          <w:rFonts w:ascii="Arial" w:cs="Arial" w:eastAsia="Arial" w:hAnsi="Arial"/>
          <w:sz w:val="22"/>
          <w:szCs w:val="22"/>
        </w:rPr>
        <w:t xml:space="preserve">All participants who receive any amount of HF-1002 (Safety Set), analyzed by dose received and overall.</w:t>
      </w:r>
    </w:p>
    <w:p>
      <w:pPr>
        <w:pStyle w:val="Heading2"/>
        <w:numPr>
          <w:ilvl w:val="1"/>
          <w:numId w:val="2"/>
        </w:numPr>
      </w:pPr>
      <w:r>
        <w:rPr>
          <w:rFonts w:ascii="Arial" w:cs="Arial" w:eastAsia="Arial" w:hAnsi="Arial"/>
        </w:rPr>
        <w:t xml:space="preserve">Adverse Event Definitions</w:t>
      </w:r>
    </w:p>
    <w:p>
      <w:pPr>
        <w:pStyle w:val="ListParagraph"/>
        <w:numPr>
          <w:ilvl w:val="0"/>
          <w:numId w:val="3"/>
        </w:numPr>
        <w:spacing w:after="60" w:line="276"/>
      </w:pPr>
      <w:r>
        <w:rPr>
          <w:rFonts w:ascii="Arial" w:cs="Arial" w:eastAsia="Arial" w:hAnsi="Arial"/>
          <w:b/>
          <w:bCs/>
          <w:sz w:val="22"/>
          <w:szCs w:val="22"/>
        </w:rPr>
        <w:t xml:space="preserve">AE:</w:t>
      </w:r>
      <w:r>
        <w:rPr>
          <w:rFonts w:ascii="Arial" w:cs="Arial" w:eastAsia="Arial" w:hAnsi="Arial"/>
          <w:sz w:val="22"/>
          <w:szCs w:val="22"/>
        </w:rPr>
        <w:t xml:space="preserve"> any untoward medical occurrence, collected from the time of informed consent.</w:t>
      </w:r>
    </w:p>
    <w:p>
      <w:pPr>
        <w:pStyle w:val="ListParagraph"/>
        <w:numPr>
          <w:ilvl w:val="0"/>
          <w:numId w:val="3"/>
        </w:numPr>
        <w:spacing w:after="60" w:line="276"/>
      </w:pPr>
      <w:r>
        <w:rPr>
          <w:rFonts w:ascii="Arial" w:cs="Arial" w:eastAsia="Arial" w:hAnsi="Arial"/>
          <w:b/>
          <w:bCs/>
          <w:sz w:val="22"/>
          <w:szCs w:val="22"/>
        </w:rPr>
        <w:t xml:space="preserve">TEAE:</w:t>
      </w:r>
      <w:r>
        <w:rPr>
          <w:rFonts w:ascii="Arial" w:cs="Arial" w:eastAsia="Arial" w:hAnsi="Arial"/>
          <w:sz w:val="22"/>
          <w:szCs w:val="22"/>
        </w:rPr>
        <w:t xml:space="preserve"> an AE that is new, or worsens in severity or frequency, after the HF-1002 infusion.</w:t>
      </w:r>
    </w:p>
    <w:p>
      <w:pPr>
        <w:pStyle w:val="ListParagraph"/>
        <w:numPr>
          <w:ilvl w:val="0"/>
          <w:numId w:val="3"/>
        </w:numPr>
        <w:spacing w:after="60" w:line="276"/>
      </w:pPr>
      <w:r>
        <w:rPr>
          <w:rFonts w:ascii="Arial" w:cs="Arial" w:eastAsia="Arial" w:hAnsi="Arial"/>
          <w:b/>
          <w:bCs/>
          <w:sz w:val="22"/>
          <w:szCs w:val="22"/>
        </w:rPr>
        <w:t xml:space="preserve">SAE:</w:t>
      </w:r>
      <w:r>
        <w:rPr>
          <w:rFonts w:ascii="Arial" w:cs="Arial" w:eastAsia="Arial" w:hAnsi="Arial"/>
          <w:sz w:val="22"/>
          <w:szCs w:val="22"/>
        </w:rPr>
        <w:t xml:space="preserve"> an AE that results in death, is life-threatening, requires or prolongs hospitalization, results in persistent disability/incapacity, or is a congenital anomaly. SAEs, deaths, cardiac-related hospitalizations, cardiac transplantation, and LVAD implantation are recorded throughout the primary observation period and long-term follow-up.</w:t>
      </w:r>
    </w:p>
    <w:p>
      <w:pPr>
        <w:pStyle w:val="ListParagraph"/>
        <w:numPr>
          <w:ilvl w:val="0"/>
          <w:numId w:val="3"/>
        </w:numPr>
        <w:spacing w:after="60" w:line="276"/>
      </w:pPr>
      <w:r>
        <w:rPr>
          <w:rFonts w:ascii="Arial" w:cs="Arial" w:eastAsia="Arial" w:hAnsi="Arial"/>
          <w:b/>
          <w:bCs/>
          <w:sz w:val="22"/>
          <w:szCs w:val="22"/>
        </w:rPr>
        <w:t xml:space="preserve">DLT:</w:t>
      </w:r>
      <w:r>
        <w:rPr>
          <w:rFonts w:ascii="Arial" w:cs="Arial" w:eastAsia="Arial" w:hAnsi="Arial"/>
          <w:sz w:val="22"/>
          <w:szCs w:val="22"/>
        </w:rPr>
        <w:t xml:space="preserve"> a protocol-defined event in the DLT window (Day 1 to Week 4), investigator-assessed as related to HF-1002 or the administration procedure: myocarditis; myositis; Grade ≥3 neutropenia lasting &gt;7 days; cardiac tamponade; Grade ≥3 hepatotoxicity (ALT or AST &gt;5× ULN, or &gt;3× ULN with total bilirubin &gt;2× ULN) not otherwise attributable; or any other related Grade ≥4 adverse event.</w:t>
      </w:r>
    </w:p>
    <w:p>
      <w:pPr>
        <w:pStyle w:val="Heading2"/>
        <w:numPr>
          <w:ilvl w:val="1"/>
          <w:numId w:val="2"/>
        </w:numPr>
      </w:pPr>
      <w:r>
        <w:rPr>
          <w:rFonts w:ascii="Arial" w:cs="Arial" w:eastAsia="Arial" w:hAnsi="Arial"/>
        </w:rPr>
        <w:t xml:space="preserve">AE Coding and Grading</w:t>
      </w:r>
    </w:p>
    <w:p>
      <w:pPr>
        <w:spacing w:after="120" w:line="276"/>
      </w:pPr>
      <w:r>
        <w:rPr>
          <w:rFonts w:ascii="Arial" w:cs="Arial" w:eastAsia="Arial" w:hAnsi="Arial"/>
          <w:sz w:val="22"/>
          <w:szCs w:val="22"/>
        </w:rPr>
        <w:t xml:space="preserve">AEs are coded using MedDRA (version current at database lock) and graded using CTCAE v5.0. Relationship to study treatment is investigator-assessed.</w:t>
      </w:r>
    </w:p>
    <w:p>
      <w:pPr>
        <w:pStyle w:val="Heading2"/>
        <w:numPr>
          <w:ilvl w:val="1"/>
          <w:numId w:val="2"/>
        </w:numPr>
      </w:pPr>
      <w:r>
        <w:rPr>
          <w:rFonts w:ascii="Arial" w:cs="Arial" w:eastAsia="Arial" w:hAnsi="Arial"/>
        </w:rPr>
        <w:t xml:space="preserve">AE Summaries</w:t>
      </w:r>
    </w:p>
    <w:p>
      <w:pPr>
        <w:spacing w:after="120" w:line="276"/>
      </w:pPr>
      <w:r>
        <w:rPr>
          <w:rFonts w:ascii="Arial" w:cs="Arial" w:eastAsia="Arial" w:hAnsi="Arial"/>
          <w:sz w:val="22"/>
          <w:szCs w:val="22"/>
        </w:rPr>
        <w:t xml:space="preserve">AE summaries are produced by cohort and overall:</w:t>
      </w:r>
    </w:p>
    <w:p>
      <w:pPr>
        <w:pStyle w:val="ListParagraph"/>
        <w:numPr>
          <w:ilvl w:val="0"/>
          <w:numId w:val="3"/>
        </w:numPr>
        <w:spacing w:after="60" w:line="276"/>
      </w:pPr>
      <w:r>
        <w:rPr>
          <w:rFonts w:ascii="Arial" w:cs="Arial" w:eastAsia="Arial" w:hAnsi="Arial"/>
          <w:sz w:val="22"/>
          <w:szCs w:val="22"/>
        </w:rPr>
        <w:t xml:space="preserve">Overall summary of TEAEs (any TEAE, related TEAE, SAE, related SAE, severe [Grade ≥3] TEAE, TEAE leading to death).</w:t>
      </w:r>
    </w:p>
    <w:p>
      <w:pPr>
        <w:pStyle w:val="ListParagraph"/>
        <w:numPr>
          <w:ilvl w:val="0"/>
          <w:numId w:val="3"/>
        </w:numPr>
        <w:spacing w:after="60" w:line="276"/>
      </w:pPr>
      <w:r>
        <w:rPr>
          <w:rFonts w:ascii="Arial" w:cs="Arial" w:eastAsia="Arial" w:hAnsi="Arial"/>
          <w:sz w:val="22"/>
          <w:szCs w:val="22"/>
        </w:rPr>
        <w:t xml:space="preserve">TEAEs by system organ class (SOC) and preferred term (PT).</w:t>
      </w:r>
    </w:p>
    <w:p>
      <w:pPr>
        <w:pStyle w:val="ListParagraph"/>
        <w:numPr>
          <w:ilvl w:val="0"/>
          <w:numId w:val="3"/>
        </w:numPr>
        <w:spacing w:after="60" w:line="276"/>
      </w:pPr>
      <w:r>
        <w:rPr>
          <w:rFonts w:ascii="Arial" w:cs="Arial" w:eastAsia="Arial" w:hAnsi="Arial"/>
          <w:sz w:val="22"/>
          <w:szCs w:val="22"/>
        </w:rPr>
        <w:t xml:space="preserve">TEAEs by SOC, PT, and maximum CTCAE severity.</w:t>
      </w:r>
    </w:p>
    <w:p>
      <w:pPr>
        <w:pStyle w:val="ListParagraph"/>
        <w:numPr>
          <w:ilvl w:val="0"/>
          <w:numId w:val="3"/>
        </w:numPr>
        <w:spacing w:after="60" w:line="276"/>
      </w:pPr>
      <w:r>
        <w:rPr>
          <w:rFonts w:ascii="Arial" w:cs="Arial" w:eastAsia="Arial" w:hAnsi="Arial"/>
          <w:sz w:val="22"/>
          <w:szCs w:val="22"/>
        </w:rPr>
        <w:t xml:space="preserve">TEAEs by SOC, PT, and relationship to study treatment.</w:t>
      </w:r>
    </w:p>
    <w:p>
      <w:pPr>
        <w:pStyle w:val="ListParagraph"/>
        <w:numPr>
          <w:ilvl w:val="0"/>
          <w:numId w:val="3"/>
        </w:numPr>
        <w:spacing w:after="60" w:line="276"/>
      </w:pPr>
      <w:r>
        <w:rPr>
          <w:rFonts w:ascii="Arial" w:cs="Arial" w:eastAsia="Arial" w:hAnsi="Arial"/>
          <w:sz w:val="22"/>
          <w:szCs w:val="22"/>
        </w:rPr>
        <w:t xml:space="preserve">SAEs by SOC and PT, summarized separately.</w:t>
      </w:r>
    </w:p>
    <w:p>
      <w:pPr>
        <w:pStyle w:val="ListParagraph"/>
        <w:numPr>
          <w:ilvl w:val="0"/>
          <w:numId w:val="3"/>
        </w:numPr>
        <w:spacing w:after="60" w:line="276"/>
      </w:pPr>
      <w:r>
        <w:rPr>
          <w:rFonts w:ascii="Arial" w:cs="Arial" w:eastAsia="Arial" w:hAnsi="Arial"/>
          <w:sz w:val="22"/>
          <w:szCs w:val="22"/>
        </w:rPr>
        <w:t xml:space="preserve">Deaths, summarized separately with cause.</w:t>
      </w:r>
    </w:p>
    <w:p>
      <w:pPr>
        <w:pStyle w:val="ListParagraph"/>
        <w:numPr>
          <w:ilvl w:val="0"/>
          <w:numId w:val="3"/>
        </w:numPr>
        <w:spacing w:after="60" w:line="276"/>
      </w:pPr>
      <w:r>
        <w:rPr>
          <w:rFonts w:ascii="Arial" w:cs="Arial" w:eastAsia="Arial" w:hAnsi="Arial"/>
          <w:sz w:val="22"/>
          <w:szCs w:val="22"/>
        </w:rPr>
        <w:t xml:space="preserve">DLTs, summarized separately by cohort and dose, with a supporting listing.</w:t>
      </w:r>
    </w:p>
    <w:p>
      <w:pPr>
        <w:pStyle w:val="Heading2"/>
        <w:numPr>
          <w:ilvl w:val="1"/>
          <w:numId w:val="2"/>
        </w:numPr>
      </w:pPr>
      <w:r>
        <w:rPr>
          <w:rFonts w:ascii="Arial" w:cs="Arial" w:eastAsia="Arial" w:hAnsi="Arial"/>
        </w:rPr>
        <w:t xml:space="preserve">Laboratory Analyses</w:t>
      </w:r>
    </w:p>
    <w:p>
      <w:pPr>
        <w:spacing w:after="120" w:line="276"/>
      </w:pPr>
      <w:r>
        <w:rPr>
          <w:rFonts w:ascii="Arial" w:cs="Arial" w:eastAsia="Arial" w:hAnsi="Arial"/>
          <w:sz w:val="22"/>
          <w:szCs w:val="22"/>
        </w:rPr>
        <w:t xml:space="preserve">Hematology and chemistry (including liver function: ALT, AST, ALP, total bilirubin) are summarized as observed values and changes from baseline by visit. Shift tables relative to normal ranges are produced. Values meeting predefined alert criteria, in particular liver enzyme elevations consistent with the DLT definition, are tabulated and listed.</w:t>
      </w:r>
    </w:p>
    <w:p>
      <w:pPr>
        <w:pStyle w:val="Heading2"/>
        <w:numPr>
          <w:ilvl w:val="1"/>
          <w:numId w:val="2"/>
        </w:numPr>
      </w:pPr>
      <w:r>
        <w:rPr>
          <w:rFonts w:ascii="Arial" w:cs="Arial" w:eastAsia="Arial" w:hAnsi="Arial"/>
        </w:rPr>
        <w:t xml:space="preserve">Vital Signs and ECG</w:t>
      </w:r>
    </w:p>
    <w:p>
      <w:pPr>
        <w:spacing w:after="120" w:line="276"/>
      </w:pPr>
      <w:r>
        <w:rPr>
          <w:rFonts w:ascii="Arial" w:cs="Arial" w:eastAsia="Arial" w:hAnsi="Arial"/>
          <w:sz w:val="22"/>
          <w:szCs w:val="22"/>
        </w:rPr>
        <w:t xml:space="preserve">Vital signs and 12-lead ECG parameters are summarized as observed values and changes from baseline by visit. ECG findings are summarized categorically (normal / abnormal not clinically significant / abnormal clinically significant).</w:t>
      </w:r>
    </w:p>
    <w:p>
      <w:pPr>
        <w:pStyle w:val="Heading2"/>
        <w:numPr>
          <w:ilvl w:val="1"/>
          <w:numId w:val="2"/>
        </w:numPr>
      </w:pPr>
      <w:r>
        <w:rPr>
          <w:rFonts w:ascii="Arial" w:cs="Arial" w:eastAsia="Arial" w:hAnsi="Arial"/>
        </w:rPr>
        <w:t xml:space="preserve">Biomarkers and Immunogenicity (Safety-Related)</w:t>
      </w:r>
    </w:p>
    <w:p>
      <w:pPr>
        <w:spacing w:after="120" w:line="276"/>
      </w:pPr>
      <w:r>
        <w:rPr>
          <w:rFonts w:ascii="Arial" w:cs="Arial" w:eastAsia="Arial" w:hAnsi="Arial"/>
          <w:sz w:val="22"/>
          <w:szCs w:val="22"/>
        </w:rPr>
        <w:t xml:space="preserve">Complement C3 and C4 are summarized over time to monitor complement activation. Anti-AAV NAb titers and IFNγ ELISpot responses (to the rAAV-Cx capsid and the cI-1 transgene) are summarized over time to characterize humoral and cellular immune responses to the vector and transgene.</w:t>
      </w:r>
    </w:p>
    <w:p>
      <w:pPr>
        <w:pStyle w:val="Heading1"/>
        <w:numPr>
          <w:ilvl w:val="0"/>
          <w:numId w:val="2"/>
        </w:numPr>
      </w:pPr>
      <w:r>
        <w:rPr>
          <w:rFonts w:ascii="Arial" w:cs="Arial" w:eastAsia="Arial" w:hAnsi="Arial"/>
        </w:rPr>
        <w:t xml:space="preserve">Subgroup and Exploratory Analyses</w:t>
      </w:r>
    </w:p>
    <w:p>
      <w:pPr>
        <w:pStyle w:val="Heading2"/>
        <w:numPr>
          <w:ilvl w:val="1"/>
          <w:numId w:val="2"/>
        </w:numPr>
      </w:pPr>
      <w:r>
        <w:rPr>
          <w:rFonts w:ascii="Arial" w:cs="Arial" w:eastAsia="Arial" w:hAnsi="Arial"/>
        </w:rPr>
        <w:t xml:space="preserve">Subgroups</w:t>
      </w:r>
    </w:p>
    <w:p>
      <w:pPr>
        <w:spacing w:after="120" w:line="276"/>
      </w:pPr>
      <w:r>
        <w:rPr>
          <w:rFonts w:ascii="Arial" w:cs="Arial" w:eastAsia="Arial" w:hAnsi="Arial"/>
          <w:sz w:val="22"/>
          <w:szCs w:val="22"/>
        </w:rPr>
        <w:t xml:space="preserve">Given the small first-in-human sample, no formal subgroup efficacy analyses are planned. All summaries are presented by dose cohort, which is the primary stratification of interest, and overall. Where useful, safety may be described by baseline anti-AAV NAb status and by baseline LVEF stratum descriptively.</w:t>
      </w:r>
    </w:p>
    <w:p>
      <w:pPr>
        <w:pStyle w:val="Heading2"/>
        <w:numPr>
          <w:ilvl w:val="1"/>
          <w:numId w:val="2"/>
        </w:numPr>
      </w:pPr>
      <w:r>
        <w:rPr>
          <w:rFonts w:ascii="Arial" w:cs="Arial" w:eastAsia="Arial" w:hAnsi="Arial"/>
        </w:rPr>
        <w:t xml:space="preserve">Exploratory Analyses</w:t>
      </w:r>
    </w:p>
    <w:p>
      <w:pPr>
        <w:pStyle w:val="ListParagraph"/>
        <w:numPr>
          <w:ilvl w:val="0"/>
          <w:numId w:val="3"/>
        </w:numPr>
        <w:spacing w:after="60" w:line="276"/>
      </w:pPr>
      <w:r>
        <w:rPr>
          <w:rFonts w:ascii="Arial" w:cs="Arial" w:eastAsia="Arial" w:hAnsi="Arial"/>
          <w:sz w:val="22"/>
          <w:szCs w:val="22"/>
        </w:rPr>
        <w:t xml:space="preserve">Cardiac biomarkers (NT-proBNP/BNP, troponin I): observed values and change from baseline over time, by cohort and overall.</w:t>
      </w:r>
    </w:p>
    <w:p>
      <w:pPr>
        <w:pStyle w:val="ListParagraph"/>
        <w:numPr>
          <w:ilvl w:val="0"/>
          <w:numId w:val="3"/>
        </w:numPr>
        <w:spacing w:after="60" w:line="276"/>
      </w:pPr>
      <w:r>
        <w:rPr>
          <w:rFonts w:ascii="Arial" w:cs="Arial" w:eastAsia="Arial" w:hAnsi="Arial"/>
          <w:sz w:val="22"/>
          <w:szCs w:val="22"/>
        </w:rPr>
        <w:t xml:space="preserve">Immunogenicity (anti-AAV NAb, IFNγ ELISpot): summarized over time; relationships between immune responses and safety/efficacy described qualitatively.</w:t>
      </w:r>
    </w:p>
    <w:p>
      <w:pPr>
        <w:pStyle w:val="ListParagraph"/>
        <w:numPr>
          <w:ilvl w:val="0"/>
          <w:numId w:val="3"/>
        </w:numPr>
        <w:spacing w:after="60" w:line="276"/>
      </w:pPr>
      <w:r>
        <w:rPr>
          <w:rFonts w:ascii="Arial" w:cs="Arial" w:eastAsia="Arial" w:hAnsi="Arial"/>
          <w:sz w:val="22"/>
          <w:szCs w:val="22"/>
        </w:rPr>
        <w:t xml:space="preserve">Optional cardiac tissue: myocardial vector genome copies per diploid genome and PLN Ser16 phosphorylation summarized descriptively for participants who provide tissue; presented as a listing given the expected small number.</w:t>
      </w:r>
    </w:p>
    <w:p>
      <w:pPr>
        <w:pStyle w:val="Heading1"/>
        <w:numPr>
          <w:ilvl w:val="0"/>
          <w:numId w:val="2"/>
        </w:numPr>
      </w:pPr>
      <w:r>
        <w:rPr>
          <w:rFonts w:ascii="Arial" w:cs="Arial" w:eastAsia="Arial" w:hAnsi="Arial"/>
        </w:rPr>
        <w:t xml:space="preserve">Tables, Listings, and Figures</w:t>
      </w:r>
    </w:p>
    <w:p>
      <w:pPr>
        <w:pStyle w:val="Heading2"/>
        <w:numPr>
          <w:ilvl w:val="1"/>
          <w:numId w:val="2"/>
        </w:numPr>
      </w:pPr>
      <w:r>
        <w:rPr>
          <w:rFonts w:ascii="Arial" w:cs="Arial" w:eastAsia="Arial" w:hAnsi="Arial"/>
        </w:rPr>
        <w:t xml:space="preserve">TLF Naming Convention (ICH E3)</w:t>
      </w:r>
    </w:p>
    <w:p>
      <w:pPr>
        <w:pStyle w:val="ListParagraph"/>
        <w:numPr>
          <w:ilvl w:val="0"/>
          <w:numId w:val="3"/>
        </w:numPr>
        <w:spacing w:after="60" w:line="276"/>
      </w:pPr>
      <w:r>
        <w:rPr>
          <w:rFonts w:ascii="Arial" w:cs="Arial" w:eastAsia="Arial" w:hAnsi="Arial"/>
          <w:sz w:val="22"/>
          <w:szCs w:val="22"/>
        </w:rPr>
        <w:t xml:space="preserve">14.1.x — Study population: demographics, disposition, exposure.</w:t>
      </w:r>
    </w:p>
    <w:p>
      <w:pPr>
        <w:pStyle w:val="ListParagraph"/>
        <w:numPr>
          <w:ilvl w:val="0"/>
          <w:numId w:val="3"/>
        </w:numPr>
        <w:spacing w:after="60" w:line="276"/>
      </w:pPr>
      <w:r>
        <w:rPr>
          <w:rFonts w:ascii="Arial" w:cs="Arial" w:eastAsia="Arial" w:hAnsi="Arial"/>
          <w:sz w:val="22"/>
          <w:szCs w:val="22"/>
        </w:rPr>
        <w:t xml:space="preserve">14.2.x — Efficacy: functional, imaging, exercise, and quality-of-life endpoints.</w:t>
      </w:r>
    </w:p>
    <w:p>
      <w:pPr>
        <w:pStyle w:val="ListParagraph"/>
        <w:numPr>
          <w:ilvl w:val="0"/>
          <w:numId w:val="3"/>
        </w:numPr>
        <w:spacing w:after="60" w:line="276"/>
      </w:pPr>
      <w:r>
        <w:rPr>
          <w:rFonts w:ascii="Arial" w:cs="Arial" w:eastAsia="Arial" w:hAnsi="Arial"/>
          <w:sz w:val="22"/>
          <w:szCs w:val="22"/>
        </w:rPr>
        <w:t xml:space="preserve">14.3.x — Safety: AEs, DLTs, deaths, labs, vitals, ECG, biomarkers, immunogenicity.</w:t>
      </w:r>
    </w:p>
    <w:p>
      <w:pPr>
        <w:pStyle w:val="ListParagraph"/>
        <w:numPr>
          <w:ilvl w:val="0"/>
          <w:numId w:val="3"/>
        </w:numPr>
        <w:spacing w:after="60" w:line="276"/>
      </w:pPr>
      <w:r>
        <w:rPr>
          <w:rFonts w:ascii="Arial" w:cs="Arial" w:eastAsia="Arial" w:hAnsi="Arial"/>
          <w:sz w:val="22"/>
          <w:szCs w:val="22"/>
        </w:rPr>
        <w:t xml:space="preserve">14.4.x — Exploratory.</w:t>
      </w:r>
    </w:p>
    <w:p>
      <w:pPr>
        <w:pStyle w:val="ListParagraph"/>
        <w:numPr>
          <w:ilvl w:val="0"/>
          <w:numId w:val="3"/>
        </w:numPr>
        <w:spacing w:after="60" w:line="276"/>
      </w:pPr>
      <w:r>
        <w:rPr>
          <w:rFonts w:ascii="Arial" w:cs="Arial" w:eastAsia="Arial" w:hAnsi="Arial"/>
          <w:sz w:val="22"/>
          <w:szCs w:val="22"/>
        </w:rPr>
        <w:t xml:space="preserve">16.1.x / 16.2.x / 16.3.x — Listings (population, efficacy, safety).</w:t>
      </w:r>
    </w:p>
    <w:p>
      <w:pPr>
        <w:spacing w:after="120" w:line="276"/>
      </w:pPr>
      <w:r>
        <w:rPr>
          <w:rFonts w:ascii="Arial" w:cs="Arial" w:eastAsia="Arial" w:hAnsi="Arial"/>
          <w:sz w:val="22"/>
          <w:szCs w:val="22"/>
        </w:rPr>
        <w:t xml:space="preserve">All summary tables are presented by dose cohort and overall. Mock shells for key tables are provided in Appendix A.</w:t>
      </w:r>
    </w:p>
    <w:p>
      <w:pPr>
        <w:pStyle w:val="Heading2"/>
        <w:numPr>
          <w:ilvl w:val="1"/>
          <w:numId w:val="2"/>
        </w:numPr>
      </w:pPr>
      <w:r>
        <w:rPr>
          <w:rFonts w:ascii="Arial" w:cs="Arial" w:eastAsia="Arial" w:hAnsi="Arial"/>
        </w:rPr>
        <w:t xml:space="preserve">TLF Inventory</w:t>
      </w:r>
    </w:p>
    <w:p>
      <w:pPr>
        <w:spacing w:after="60" w:before="120"/>
      </w:pPr>
      <w:r>
        <w:rPr>
          <w:rFonts w:ascii="Arial" w:cs="Arial" w:eastAsia="Arial" w:hAnsi="Arial"/>
          <w:b/>
          <w:bCs/>
          <w:sz w:val="22"/>
          <w:szCs w:val="22"/>
        </w:rPr>
        <w:t xml:space="preserve">Study Population (14.1)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1100"/>
        <w:gridCol w:w="3860"/>
        <w:gridCol w:w="1900"/>
        <w:gridCol w:w="1200"/>
      </w:tblGrid>
      <w:tr>
        <w:trPr>
          <w:tblHeader/>
        </w:trPr>
        <w:tc>
          <w:tcPr>
            <w:tcW w:type="dxa" w:w="13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Number</w:t>
            </w:r>
          </w:p>
        </w:tc>
        <w:tc>
          <w:tcPr>
            <w:tcW w:type="dxa" w:w="11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templateId</w:t>
            </w:r>
          </w:p>
        </w:tc>
        <w:tc>
          <w:tcPr>
            <w:tcW w:type="dxa" w:w="38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Title</w:t>
            </w:r>
          </w:p>
        </w:tc>
        <w:tc>
          <w:tcPr>
            <w:tcW w:type="dxa" w:w="19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Population</w:t>
            </w:r>
          </w:p>
        </w:tc>
        <w:tc>
          <w:tcPr>
            <w:tcW w:type="dxa" w:w="12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Dataset</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T-14.1.1</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D01</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Demographics and Baseline Characteristics</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ADSL</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T-14.1.2</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D02</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Participant Disposition</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Enrolled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ADSL</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T-14.1.3</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D03</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Extent of Exposure (Dose Administered)</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ADEX</w:t>
            </w:r>
          </w:p>
        </w:tc>
      </w:tr>
    </w:tbl>
    <w:p>
      <w:pPr>
        <w:spacing w:after="80"/>
      </w:pPr>
    </w:p>
    <w:p>
      <w:pPr>
        <w:spacing w:after="60" w:before="120"/>
      </w:pPr>
      <w:r>
        <w:rPr>
          <w:rFonts w:ascii="Arial" w:cs="Arial" w:eastAsia="Arial" w:hAnsi="Arial"/>
          <w:b/>
          <w:bCs/>
          <w:sz w:val="22"/>
          <w:szCs w:val="22"/>
        </w:rPr>
        <w:t xml:space="preserve">Efficacy (14.2)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1100"/>
        <w:gridCol w:w="3860"/>
        <w:gridCol w:w="1900"/>
        <w:gridCol w:w="1200"/>
      </w:tblGrid>
      <w:tr>
        <w:trPr>
          <w:tblHeader/>
        </w:trPr>
        <w:tc>
          <w:tcPr>
            <w:tcW w:type="dxa" w:w="13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Number</w:t>
            </w:r>
          </w:p>
        </w:tc>
        <w:tc>
          <w:tcPr>
            <w:tcW w:type="dxa" w:w="11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templateId</w:t>
            </w:r>
          </w:p>
        </w:tc>
        <w:tc>
          <w:tcPr>
            <w:tcW w:type="dxa" w:w="38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Title</w:t>
            </w:r>
          </w:p>
        </w:tc>
        <w:tc>
          <w:tcPr>
            <w:tcW w:type="dxa" w:w="19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Population</w:t>
            </w:r>
          </w:p>
        </w:tc>
        <w:tc>
          <w:tcPr>
            <w:tcW w:type="dxa" w:w="12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Dataset</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T-14.2.1.1</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CV04</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Change from Baseline in LVEF (Central Reader) at M3/6/12</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FAS</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ADIMG</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T-14.2.1.2</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Inter-Reader Reliability for LVEF (ICC) by Visit</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FAS</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ADIMG</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T-14.2.2.1</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E01</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Change from Baseline in pVO2 (CPET) at M3/6/12</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FAS</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ADEFF</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T-14.2.2.2</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E02</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Change from Baseline in 6MWT Distance at M3/6/12</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FAS</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ADEFF</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T-14.2.3.1</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E02</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NYHA Functional Class — Shift from Baseline</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FAS</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ADEFF</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T-14.2.4.1</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E02</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Change from Baseline in MLHFQ Total Score</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FAS</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ADEFF</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T-14.2.4.2</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E02</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Change from Baseline in KCCQ Overall Summary Score</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FAS</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ADEFF</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F-14.2.1</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Spaghetti Plot of LVEF over Time by Cohort</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FAS</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ADIMG</w:t>
            </w:r>
          </w:p>
        </w:tc>
      </w:tr>
    </w:tbl>
    <w:p>
      <w:pPr>
        <w:spacing w:after="80"/>
      </w:pPr>
    </w:p>
    <w:p>
      <w:pPr>
        <w:spacing w:after="60" w:before="120"/>
      </w:pPr>
      <w:r>
        <w:rPr>
          <w:rFonts w:ascii="Arial" w:cs="Arial" w:eastAsia="Arial" w:hAnsi="Arial"/>
          <w:b/>
          <w:bCs/>
          <w:sz w:val="22"/>
          <w:szCs w:val="22"/>
        </w:rPr>
        <w:t xml:space="preserve">Safety (14.3)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1100"/>
        <w:gridCol w:w="3860"/>
        <w:gridCol w:w="1900"/>
        <w:gridCol w:w="1200"/>
      </w:tblGrid>
      <w:tr>
        <w:trPr>
          <w:tblHeader/>
        </w:trPr>
        <w:tc>
          <w:tcPr>
            <w:tcW w:type="dxa" w:w="13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Number</w:t>
            </w:r>
          </w:p>
        </w:tc>
        <w:tc>
          <w:tcPr>
            <w:tcW w:type="dxa" w:w="11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templateId</w:t>
            </w:r>
          </w:p>
        </w:tc>
        <w:tc>
          <w:tcPr>
            <w:tcW w:type="dxa" w:w="38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Title</w:t>
            </w:r>
          </w:p>
        </w:tc>
        <w:tc>
          <w:tcPr>
            <w:tcW w:type="dxa" w:w="19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Population</w:t>
            </w:r>
          </w:p>
        </w:tc>
        <w:tc>
          <w:tcPr>
            <w:tcW w:type="dxa" w:w="12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Dataset</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T-14.3.1.1</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S01</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Overall Summary of TEAEs</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ADAE</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T-14.3.1.2</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S02</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TEAEs by SOC and PT</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ADAE</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T-14.3.1.3</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TEAEs by SOC, PT, and Maximum Severity (CTCAE v5.0)</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ADAE</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T-14.3.1.4</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TEAEs by SOC, PT, and Relationship</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ADAE</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T-14.3.2.1</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S03</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Serious Adverse Events by SOC and PT</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ADAE</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T-14.3.3.1</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S04</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Dose-Limiting Toxicities by Cohort and Dose</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DLT-Evaluable</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ADAE</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T-14.3.4.1</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S05</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Summary of Deaths</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ADSL, ADAE</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T-14.3.5.1</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S06</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Laboratory Parameters — Hematology</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ADLB</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T-14.3.5.2</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Laboratory Parameters — Chemistry incl. Liver</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ADLB</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T-14.3.5.3</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Laboratory Shift Tables</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ADLB</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T-14.3.5.4</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Liver Function Alert Criteria (DLT-Aligned)</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ADLB</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T-14.3.6.1</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S07</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Summary of Vital Signs</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ADVS</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T-14.3.6.2</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12-Lead ECG Summary</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ADVS</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T-14.3.7.1</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Complement C3/C4 over Time</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ADLB</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T-14.3.7.2</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Anti-AAV NAb Titers over Time</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ADIS</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T-14.3.7.3</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IFNγ ELISpot Responses over Time</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ADIS</w:t>
            </w:r>
          </w:p>
        </w:tc>
      </w:tr>
    </w:tbl>
    <w:p>
      <w:pPr>
        <w:spacing w:after="80"/>
      </w:pPr>
    </w:p>
    <w:p>
      <w:pPr>
        <w:spacing w:after="60" w:before="120"/>
      </w:pPr>
      <w:r>
        <w:rPr>
          <w:rFonts w:ascii="Arial" w:cs="Arial" w:eastAsia="Arial" w:hAnsi="Arial"/>
          <w:b/>
          <w:bCs/>
          <w:sz w:val="22"/>
          <w:szCs w:val="22"/>
        </w:rPr>
        <w:t xml:space="preserve">Exploratory (14.4)</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1100"/>
        <w:gridCol w:w="3860"/>
        <w:gridCol w:w="1900"/>
        <w:gridCol w:w="1200"/>
      </w:tblGrid>
      <w:tr>
        <w:trPr>
          <w:tblHeader/>
        </w:trPr>
        <w:tc>
          <w:tcPr>
            <w:tcW w:type="dxa" w:w="13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Number</w:t>
            </w:r>
          </w:p>
        </w:tc>
        <w:tc>
          <w:tcPr>
            <w:tcW w:type="dxa" w:w="11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templateId</w:t>
            </w:r>
          </w:p>
        </w:tc>
        <w:tc>
          <w:tcPr>
            <w:tcW w:type="dxa" w:w="38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Title</w:t>
            </w:r>
          </w:p>
        </w:tc>
        <w:tc>
          <w:tcPr>
            <w:tcW w:type="dxa" w:w="19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Population</w:t>
            </w:r>
          </w:p>
        </w:tc>
        <w:tc>
          <w:tcPr>
            <w:tcW w:type="dxa" w:w="12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Dataset</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T-14.4.1.1</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NT-proBNP/BNP and Troponin I over Time</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FAS</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ADBIOM</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T-14.4.2.1</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Myocardial vg Copies &amp; PLN Ser16 Phosphorylation (Optional Tissue)</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FAS</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ADBIOM</w:t>
            </w:r>
          </w:p>
        </w:tc>
      </w:tr>
    </w:tbl>
    <w:p>
      <w:pPr>
        <w:spacing w:after="80"/>
      </w:pPr>
    </w:p>
    <w:p>
      <w:pPr>
        <w:spacing w:after="60" w:before="120"/>
      </w:pPr>
      <w:r>
        <w:rPr>
          <w:rFonts w:ascii="Arial" w:cs="Arial" w:eastAsia="Arial" w:hAnsi="Arial"/>
          <w:b/>
          <w:bCs/>
          <w:sz w:val="22"/>
          <w:szCs w:val="22"/>
        </w:rPr>
        <w:t xml:space="preserve">Listings (16.x)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1100"/>
        <w:gridCol w:w="3860"/>
        <w:gridCol w:w="1900"/>
        <w:gridCol w:w="1200"/>
      </w:tblGrid>
      <w:tr>
        <w:trPr>
          <w:tblHeader/>
        </w:trPr>
        <w:tc>
          <w:tcPr>
            <w:tcW w:type="dxa" w:w="13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Number</w:t>
            </w:r>
          </w:p>
        </w:tc>
        <w:tc>
          <w:tcPr>
            <w:tcW w:type="dxa" w:w="11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templateId</w:t>
            </w:r>
          </w:p>
        </w:tc>
        <w:tc>
          <w:tcPr>
            <w:tcW w:type="dxa" w:w="38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Title</w:t>
            </w:r>
          </w:p>
        </w:tc>
        <w:tc>
          <w:tcPr>
            <w:tcW w:type="dxa" w:w="19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Population</w:t>
            </w:r>
          </w:p>
        </w:tc>
        <w:tc>
          <w:tcPr>
            <w:tcW w:type="dxa" w:w="12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Dataset</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L-16.1.1</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L01</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Listing of Participant Disposition</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Enrolled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ADSL</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L-16.1.2</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L02</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Listing of Demographics and Baseline</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Enrolled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ADSL</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L-16.1.3</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L03</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Listing of Study Drug Exposure</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ADEX</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L-16.1.4</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L10</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Listing of Protocol Deviations</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Enrolled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ADDV</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L-16.2.1</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L09</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Listing of Concomitant Medications</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ADCM</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L-16.3.1</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L04</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Listing of Adverse Events</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ADAE</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L-16.3.2</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L05</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Listing of Serious Adverse Events</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ADAE</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L-16.3.3</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L06</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Listing of Dose-Limiting Toxicities</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DLT-Evaluable</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ADAE</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L-16.3.4</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L07</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Listing of Deaths</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ADSL, ADAE</w:t>
            </w:r>
          </w:p>
        </w:tc>
      </w:tr>
      <w:tr>
        <w:tc>
          <w:tcPr>
            <w:tcW w:type="dxa" w:w="13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L-16.3.5</w:t>
            </w:r>
          </w:p>
        </w:tc>
        <w:tc>
          <w:tcPr>
            <w:tcW w:type="dxa" w:w="11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L08</w:t>
            </w:r>
          </w:p>
        </w:tc>
        <w:tc>
          <w:tcPr>
            <w:tcW w:type="dxa" w:w="38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Listing of Clinically Significant Lab Abnormalities</w:t>
            </w:r>
          </w:p>
        </w:tc>
        <w:tc>
          <w:tcPr>
            <w:tcW w:type="dxa" w:w="19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Safety Set</w:t>
            </w:r>
          </w:p>
        </w:tc>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ADLB</w:t>
            </w:r>
          </w:p>
        </w:tc>
      </w:tr>
    </w:tbl>
    <w:p>
      <w:pPr>
        <w:pStyle w:val="Heading2"/>
        <w:numPr>
          <w:ilvl w:val="1"/>
          <w:numId w:val="2"/>
        </w:numPr>
      </w:pPr>
      <w:r>
        <w:rPr>
          <w:rFonts w:ascii="Arial" w:cs="Arial" w:eastAsia="Arial" w:hAnsi="Arial"/>
        </w:rPr>
        <w:t xml:space="preserve">Section 12 JSON Sidecar</w:t>
      </w:r>
    </w:p>
    <w:p>
      <w:pPr>
        <w:spacing w:after="120" w:line="276"/>
      </w:pPr>
      <w:r>
        <w:rPr>
          <w:rFonts w:ascii="Arial" w:cs="Arial" w:eastAsia="Arial" w:hAnsi="Arial"/>
          <w:sz w:val="22"/>
          <w:szCs w:val="22"/>
        </w:rPr>
        <w:t xml:space="preserve">A HF-1002-CL-101_section12.json sidecar is emitted alongside this SAP for downstream mock-shell generation, structured as the mock-shell-generator customShells parameter expects.</w:t>
      </w:r>
    </w:p>
    <w:p>
      <w:r>
        <w:br w:type="page"/>
      </w:r>
    </w:p>
    <w:p>
      <w:pPr>
        <w:pStyle w:val="Heading1"/>
      </w:pPr>
      <w:r>
        <w:rPr>
          <w:rFonts w:ascii="Arial" w:cs="Arial" w:eastAsia="Arial" w:hAnsi="Arial"/>
        </w:rPr>
        <w:t xml:space="preserve">Appendix A: Mock Table Shells</w:t>
      </w:r>
    </w:p>
    <w:p>
      <w:pPr>
        <w:pStyle w:val="Heading2"/>
      </w:pPr>
      <w:r>
        <w:rPr>
          <w:rFonts w:ascii="Arial" w:cs="Arial" w:eastAsia="Arial" w:hAnsi="Arial"/>
        </w:rPr>
        <w:t xml:space="preserve">A.1 Demographics and Baseline Characteristics (Table 14.1.1, Safety Set)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60"/>
        <w:gridCol w:w="1600"/>
        <w:gridCol w:w="1600"/>
        <w:gridCol w:w="1600"/>
        <w:gridCol w:w="1600"/>
      </w:tblGrid>
      <w:tr>
        <w:trPr>
          <w:tblHeader/>
        </w:trPr>
        <w:tc>
          <w:tcPr>
            <w:tcW w:type="dxa" w:w="29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Characteristic</w:t>
            </w:r>
          </w:p>
        </w:tc>
        <w:tc>
          <w:tcPr>
            <w:tcW w:type="dxa" w:w="16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Cohort 1 (N=xx)</w:t>
            </w:r>
          </w:p>
        </w:tc>
        <w:tc>
          <w:tcPr>
            <w:tcW w:type="dxa" w:w="16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Cohort 2 (N=xx)</w:t>
            </w:r>
          </w:p>
        </w:tc>
        <w:tc>
          <w:tcPr>
            <w:tcW w:type="dxa" w:w="16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Cohort 3 (N=xx)</w:t>
            </w:r>
          </w:p>
        </w:tc>
        <w:tc>
          <w:tcPr>
            <w:tcW w:type="dxa" w:w="16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Total (N=xx)</w:t>
            </w:r>
          </w:p>
        </w:tc>
      </w:tr>
      <w:tr>
        <w:tc>
          <w:tcPr>
            <w:tcW w:type="dxa" w:w="2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Age (years), Mean (SD)</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xx.x (xx.xx)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xx.x (xx.xx)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xx.x (xx.xx)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xx.x (xx.xx)</w:t>
            </w:r>
          </w:p>
        </w:tc>
      </w:tr>
      <w:tr>
        <w:tc>
          <w:tcPr>
            <w:tcW w:type="dxa" w:w="2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Sex, n (%) Male</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r>
      <w:tr>
        <w:tc>
          <w:tcPr>
            <w:tcW w:type="dxa" w:w="2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Baseline LVEF (%), Mean (SD)</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xx.x (xx.xx)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xx.x (xx.xx)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xx.x (xx.xx)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xx.x (xx.xx)</w:t>
            </w:r>
          </w:p>
        </w:tc>
      </w:tr>
      <w:tr>
        <w:tc>
          <w:tcPr>
            <w:tcW w:type="dxa" w:w="2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NYHA class III, n (%)</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r>
    </w:tbl>
    <w:p>
      <w:pPr>
        <w:spacing w:after="120"/>
      </w:pPr>
    </w:p>
    <w:p>
      <w:pPr>
        <w:pStyle w:val="Heading2"/>
      </w:pPr>
      <w:r>
        <w:rPr>
          <w:rFonts w:ascii="Arial" w:cs="Arial" w:eastAsia="Arial" w:hAnsi="Arial"/>
        </w:rPr>
        <w:t xml:space="preserve">A.2 Change from Baseline in LVEF (Table 14.2.1.1, FAS)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120"/>
        <w:gridCol w:w="2120"/>
        <w:gridCol w:w="2120"/>
      </w:tblGrid>
      <w:tr>
        <w:trPr>
          <w:tblHeader/>
        </w:trPr>
        <w:tc>
          <w:tcPr>
            <w:tcW w:type="dxa" w:w="30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Statistic</w:t>
            </w:r>
          </w:p>
        </w:tc>
        <w:tc>
          <w:tcPr>
            <w:tcW w:type="dxa" w:w="212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Month 3</w:t>
            </w:r>
          </w:p>
        </w:tc>
        <w:tc>
          <w:tcPr>
            <w:tcW w:type="dxa" w:w="212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Month 6</w:t>
            </w:r>
          </w:p>
        </w:tc>
        <w:tc>
          <w:tcPr>
            <w:tcW w:type="dxa" w:w="212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Month 12</w:t>
            </w:r>
          </w:p>
        </w:tc>
      </w:tr>
      <w:tr>
        <w:tc>
          <w:tcPr>
            <w:tcW w:type="dxa" w:w="3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n</w:t>
            </w:r>
          </w:p>
        </w:tc>
        <w:tc>
          <w:tcPr>
            <w:tcW w:type="dxa" w:w="2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w:t>
            </w:r>
          </w:p>
        </w:tc>
        <w:tc>
          <w:tcPr>
            <w:tcW w:type="dxa" w:w="2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w:t>
            </w:r>
          </w:p>
        </w:tc>
        <w:tc>
          <w:tcPr>
            <w:tcW w:type="dxa" w:w="2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w:t>
            </w:r>
          </w:p>
        </w:tc>
      </w:tr>
      <w:tr>
        <w:tc>
          <w:tcPr>
            <w:tcW w:type="dxa" w:w="3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Baseline Mean (SD)</w:t>
            </w:r>
          </w:p>
        </w:tc>
        <w:tc>
          <w:tcPr>
            <w:tcW w:type="dxa" w:w="2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xx.x (xx.xx)</w:t>
            </w:r>
          </w:p>
        </w:tc>
        <w:tc>
          <w:tcPr>
            <w:tcW w:type="dxa" w:w="2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xx.x (xx.xx)</w:t>
            </w:r>
          </w:p>
        </w:tc>
        <w:tc>
          <w:tcPr>
            <w:tcW w:type="dxa" w:w="2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xx.x (xx.xx)</w:t>
            </w:r>
          </w:p>
        </w:tc>
      </w:tr>
      <w:tr>
        <w:tc>
          <w:tcPr>
            <w:tcW w:type="dxa" w:w="3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Visit Mean (SD)</w:t>
            </w:r>
          </w:p>
        </w:tc>
        <w:tc>
          <w:tcPr>
            <w:tcW w:type="dxa" w:w="2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xx.x (xx.xx)</w:t>
            </w:r>
          </w:p>
        </w:tc>
        <w:tc>
          <w:tcPr>
            <w:tcW w:type="dxa" w:w="2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xx.x (xx.xx)</w:t>
            </w:r>
          </w:p>
        </w:tc>
        <w:tc>
          <w:tcPr>
            <w:tcW w:type="dxa" w:w="2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xx.x (xx.xx)</w:t>
            </w:r>
          </w:p>
        </w:tc>
      </w:tr>
      <w:tr>
        <w:tc>
          <w:tcPr>
            <w:tcW w:type="dxa" w:w="3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Change Mean (SD)</w:t>
            </w:r>
          </w:p>
        </w:tc>
        <w:tc>
          <w:tcPr>
            <w:tcW w:type="dxa" w:w="2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xx.x (xx.xx)</w:t>
            </w:r>
          </w:p>
        </w:tc>
        <w:tc>
          <w:tcPr>
            <w:tcW w:type="dxa" w:w="2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xx.x (xx.xx)</w:t>
            </w:r>
          </w:p>
        </w:tc>
        <w:tc>
          <w:tcPr>
            <w:tcW w:type="dxa" w:w="2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xx.x (xx.xx)</w:t>
            </w:r>
          </w:p>
        </w:tc>
      </w:tr>
      <w:tr>
        <w:tc>
          <w:tcPr>
            <w:tcW w:type="dxa" w:w="3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Change 95% CI</w:t>
            </w:r>
          </w:p>
        </w:tc>
        <w:tc>
          <w:tcPr>
            <w:tcW w:type="dxa" w:w="2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(xx.x, xx.x)</w:t>
            </w:r>
          </w:p>
        </w:tc>
        <w:tc>
          <w:tcPr>
            <w:tcW w:type="dxa" w:w="2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(xx.x, xx.x)</w:t>
            </w:r>
          </w:p>
        </w:tc>
        <w:tc>
          <w:tcPr>
            <w:tcW w:type="dxa" w:w="2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(xx.x, xx.x)</w:t>
            </w:r>
          </w:p>
        </w:tc>
      </w:tr>
    </w:tbl>
    <w:p>
      <w:pPr>
        <w:spacing w:after="120"/>
      </w:pPr>
    </w:p>
    <w:p>
      <w:pPr>
        <w:pStyle w:val="Heading2"/>
      </w:pPr>
      <w:r>
        <w:rPr>
          <w:rFonts w:ascii="Arial" w:cs="Arial" w:eastAsia="Arial" w:hAnsi="Arial"/>
        </w:rPr>
        <w:t xml:space="preserve">A.3 Overall Summary of TEAEs (Table 14.3.1.1, Safety Set)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60"/>
        <w:gridCol w:w="1600"/>
        <w:gridCol w:w="1600"/>
        <w:gridCol w:w="1600"/>
        <w:gridCol w:w="1600"/>
      </w:tblGrid>
      <w:tr>
        <w:trPr>
          <w:tblHeader/>
        </w:trPr>
        <w:tc>
          <w:tcPr>
            <w:tcW w:type="dxa" w:w="29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Category</w:t>
            </w:r>
          </w:p>
        </w:tc>
        <w:tc>
          <w:tcPr>
            <w:tcW w:type="dxa" w:w="16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Cohort 1 n (%)</w:t>
            </w:r>
          </w:p>
        </w:tc>
        <w:tc>
          <w:tcPr>
            <w:tcW w:type="dxa" w:w="16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Cohort 2 n (%)</w:t>
            </w:r>
          </w:p>
        </w:tc>
        <w:tc>
          <w:tcPr>
            <w:tcW w:type="dxa" w:w="16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Cohort 3 n (%)</w:t>
            </w:r>
          </w:p>
        </w:tc>
        <w:tc>
          <w:tcPr>
            <w:tcW w:type="dxa" w:w="16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Total n (%)</w:t>
            </w:r>
          </w:p>
        </w:tc>
      </w:tr>
      <w:tr>
        <w:tc>
          <w:tcPr>
            <w:tcW w:type="dxa" w:w="2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Any TEAE</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r>
      <w:tr>
        <w:tc>
          <w:tcPr>
            <w:tcW w:type="dxa" w:w="2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Any related TEAE</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r>
      <w:tr>
        <w:tc>
          <w:tcPr>
            <w:tcW w:type="dxa" w:w="2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Any SAE</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r>
      <w:tr>
        <w:tc>
          <w:tcPr>
            <w:tcW w:type="dxa" w:w="2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Any Grade ≥3 TEAE</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r>
      <w:tr>
        <w:tc>
          <w:tcPr>
            <w:tcW w:type="dxa" w:w="2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Any DLT</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r>
      <w:tr>
        <w:tc>
          <w:tcPr>
            <w:tcW w:type="dxa" w:w="2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Deaths</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c>
          <w:tcPr>
            <w:tcW w:type="dxa" w:w="1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xx (xx.x)</w:t>
            </w:r>
          </w:p>
        </w:tc>
      </w:tr>
    </w:tbl>
    <w:p>
      <w:r>
        <w:br w:type="page"/>
      </w:r>
    </w:p>
    <w:p>
      <w:pPr>
        <w:pStyle w:val="Heading1"/>
      </w:pPr>
      <w:r>
        <w:rPr>
          <w:rFonts w:ascii="Arial" w:cs="Arial" w:eastAsia="Arial" w:hAnsi="Arial"/>
        </w:rPr>
        <w:t xml:space="preserve">Appendix B: Derived Variables</w:t>
      </w:r>
    </w:p>
    <w:p>
      <w:pPr>
        <w:pStyle w:val="Heading2"/>
      </w:pPr>
      <w:r>
        <w:rPr>
          <w:rFonts w:ascii="Arial" w:cs="Arial" w:eastAsia="Arial" w:hAnsi="Arial"/>
        </w:rPr>
        <w:t xml:space="preserve">B.1 Baseline</w:t>
      </w:r>
    </w:p>
    <w:p>
      <w:pPr>
        <w:spacing w:after="120" w:line="276"/>
      </w:pPr>
      <w:r>
        <w:rPr>
          <w:rFonts w:ascii="Arial" w:cs="Arial" w:eastAsia="Arial" w:hAnsi="Arial"/>
          <w:sz w:val="22"/>
          <w:szCs w:val="22"/>
        </w:rPr>
        <w:t xml:space="preserve">Baseline is the last non-missing assessment prior to the HF-1002 infusion on Day 1.</w:t>
      </w:r>
    </w:p>
    <w:p>
      <w:pPr>
        <w:pStyle w:val="Heading2"/>
      </w:pPr>
      <w:r>
        <w:rPr>
          <w:rFonts w:ascii="Arial" w:cs="Arial" w:eastAsia="Arial" w:hAnsi="Arial"/>
        </w:rPr>
        <w:t xml:space="preserve">B.2 Analysis Windows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Visit</w:t>
            </w:r>
          </w:p>
        </w:tc>
        <w:tc>
          <w:tcPr>
            <w:tcW w:type="dxa" w:w="312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Target Day</w:t>
            </w:r>
          </w:p>
        </w:tc>
        <w:tc>
          <w:tcPr>
            <w:tcW w:type="dxa" w:w="312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Window</w:t>
            </w:r>
          </w:p>
        </w:tc>
      </w:tr>
      <w:tr>
        <w:tc>
          <w:tcPr>
            <w:tcW w:type="dxa" w:w="3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Week 4</w:t>
            </w:r>
          </w:p>
        </w:tc>
        <w:tc>
          <w:tcPr>
            <w:tcW w:type="dxa" w:w="3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Day 29</w:t>
            </w:r>
          </w:p>
        </w:tc>
        <w:tc>
          <w:tcPr>
            <w:tcW w:type="dxa" w:w="3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Day 26–32 (±3 days)</w:t>
            </w:r>
          </w:p>
        </w:tc>
      </w:tr>
      <w:tr>
        <w:tc>
          <w:tcPr>
            <w:tcW w:type="dxa" w:w="3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Month 6</w:t>
            </w:r>
          </w:p>
        </w:tc>
        <w:tc>
          <w:tcPr>
            <w:tcW w:type="dxa" w:w="3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Day 180</w:t>
            </w:r>
          </w:p>
        </w:tc>
        <w:tc>
          <w:tcPr>
            <w:tcW w:type="dxa" w:w="3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±7 days</w:t>
            </w:r>
          </w:p>
        </w:tc>
      </w:tr>
      <w:tr>
        <w:tc>
          <w:tcPr>
            <w:tcW w:type="dxa" w:w="3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Month 12</w:t>
            </w:r>
          </w:p>
        </w:tc>
        <w:tc>
          <w:tcPr>
            <w:tcW w:type="dxa" w:w="3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Day 360</w:t>
            </w:r>
          </w:p>
        </w:tc>
        <w:tc>
          <w:tcPr>
            <w:tcW w:type="dxa" w:w="312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±14 days</w:t>
            </w:r>
          </w:p>
        </w:tc>
      </w:tr>
    </w:tbl>
    <w:p>
      <w:pPr>
        <w:spacing w:after="120"/>
      </w:pPr>
    </w:p>
    <w:p>
      <w:pPr>
        <w:pStyle w:val="Heading2"/>
      </w:pPr>
      <w:r>
        <w:rPr>
          <w:rFonts w:ascii="Arial" w:cs="Arial" w:eastAsia="Arial" w:hAnsi="Arial"/>
        </w:rPr>
        <w:t xml:space="preserve">B.3 Common Derived Variables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Variable</w:t>
            </w:r>
          </w:p>
        </w:tc>
        <w:tc>
          <w:tcPr>
            <w:tcW w:type="dxa" w:w="63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Definition</w:t>
            </w:r>
          </w:p>
        </w:tc>
      </w:tr>
      <w:tr>
        <w:tc>
          <w:tcPr>
            <w:tcW w:type="dxa" w:w="3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Change from baseline</w:t>
            </w:r>
          </w:p>
        </w:tc>
        <w:tc>
          <w:tcPr>
            <w:tcW w:type="dxa" w:w="63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Post-baseline value minus baseline value</w:t>
            </w:r>
          </w:p>
        </w:tc>
      </w:tr>
      <w:tr>
        <w:tc>
          <w:tcPr>
            <w:tcW w:type="dxa" w:w="3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Time on study</w:t>
            </w:r>
          </w:p>
        </w:tc>
        <w:tc>
          <w:tcPr>
            <w:tcW w:type="dxa" w:w="63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Last contact date minus infusion date plus 1</w:t>
            </w:r>
          </w:p>
        </w:tc>
      </w:tr>
      <w:tr>
        <w:tc>
          <w:tcPr>
            <w:tcW w:type="dxa" w:w="3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Dose administered (vg)</w:t>
            </w:r>
          </w:p>
        </w:tc>
        <w:tc>
          <w:tcPr>
            <w:tcW w:type="dxa" w:w="63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Total vector genomes infused</w:t>
            </w:r>
          </w:p>
        </w:tc>
      </w:tr>
    </w:tbl>
    <w:p>
      <w:r>
        <w:br w:type="page"/>
      </w:r>
    </w:p>
    <w:p>
      <w:pPr>
        <w:pStyle w:val="Heading1"/>
      </w:pPr>
      <w:r>
        <w:rPr>
          <w:rFonts w:ascii="Arial" w:cs="Arial" w:eastAsia="Arial" w:hAnsi="Arial"/>
        </w:rPr>
        <w:t xml:space="preserve">Appendix C: References</w:t>
      </w:r>
    </w:p>
    <w:p>
      <w:pPr>
        <w:spacing w:after="120" w:line="276"/>
      </w:pPr>
      <w:r>
        <w:rPr>
          <w:rFonts w:ascii="Arial" w:cs="Arial" w:eastAsia="Arial" w:hAnsi="Arial"/>
          <w:sz w:val="22"/>
          <w:szCs w:val="22"/>
        </w:rPr>
        <w:t xml:space="preserve">1. ICH E9: Statistical Principles for Clinical Trials (1998).</w:t>
      </w:r>
    </w:p>
    <w:p>
      <w:pPr>
        <w:spacing w:after="120" w:line="276"/>
      </w:pPr>
      <w:r>
        <w:rPr>
          <w:rFonts w:ascii="Arial" w:cs="Arial" w:eastAsia="Arial" w:hAnsi="Arial"/>
          <w:sz w:val="22"/>
          <w:szCs w:val="22"/>
        </w:rPr>
        <w:t xml:space="preserve">2. ICH E9(R1): Addendum on Estimands and Sensitivity Analysis (2019).</w:t>
      </w:r>
    </w:p>
    <w:p>
      <w:pPr>
        <w:spacing w:after="120" w:line="276"/>
      </w:pPr>
      <w:r>
        <w:rPr>
          <w:rFonts w:ascii="Arial" w:cs="Arial" w:eastAsia="Arial" w:hAnsi="Arial"/>
          <w:sz w:val="22"/>
          <w:szCs w:val="22"/>
        </w:rPr>
        <w:t xml:space="preserve">3. ICH E3: Structure and Content of Clinical Study Reports (1995).</w:t>
      </w:r>
    </w:p>
    <w:p>
      <w:pPr>
        <w:spacing w:after="120" w:line="276"/>
      </w:pPr>
      <w:r>
        <w:rPr>
          <w:rFonts w:ascii="Arial" w:cs="Arial" w:eastAsia="Arial" w:hAnsi="Arial"/>
          <w:sz w:val="22"/>
          <w:szCs w:val="22"/>
        </w:rPr>
        <w:t xml:space="preserve">4. ICH E6(R3): Good Clinical Practice.</w:t>
      </w:r>
    </w:p>
    <w:p>
      <w:pPr>
        <w:spacing w:after="120" w:line="276"/>
      </w:pPr>
      <w:r>
        <w:rPr>
          <w:rFonts w:ascii="Arial" w:cs="Arial" w:eastAsia="Arial" w:hAnsi="Arial"/>
          <w:sz w:val="22"/>
          <w:szCs w:val="22"/>
        </w:rPr>
        <w:t xml:space="preserve">5. NCI CTCAE v5.0.</w:t>
      </w:r>
    </w:p>
    <w:p>
      <w:pPr>
        <w:spacing w:after="300"/>
      </w:pPr>
    </w:p>
    <w:p>
      <w:pPr>
        <w:spacing w:before="480"/>
        <w:jc w:val="center"/>
      </w:pPr>
      <w:r>
        <w:rPr>
          <w:rFonts w:ascii="Arial" w:cs="Arial" w:eastAsia="Arial" w:hAnsi="Arial"/>
          <w:i/>
          <w:iCs/>
        </w:rPr>
        <w:t xml:space="preserve">End of Statistical Analysis Plan — fictional, for demonstration and training use only.</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center" w:pos="4680"/>
        <w:tab w:val="right" w:pos="9026"/>
      </w:tabs>
      <w:spacing w:after="0"/>
    </w:pPr>
    <w:r>
      <w:rPr>
        <w:rFonts w:ascii="Arial" w:cs="Arial" w:eastAsia="Arial" w:hAnsi="Arial"/>
        <w:sz w:val="16"/>
        <w:szCs w:val="16"/>
      </w:rPr>
      <w:t xml:space="preserve">HF-1002-CL-101</w:t>
    </w:r>
    <w:r>
      <w:rPr>
        <w:rFonts w:ascii="Arial" w:cs="Arial" w:eastAsia="Arial" w:hAnsi="Arial"/>
        <w:sz w:val="16"/>
        <w:szCs w:val="16"/>
      </w:rPr>
      <w:t xml:space="preserve">	CONFIDENTIAL</w:t>
    </w:r>
    <w:r>
      <w:rPr>
        <w:rFonts w:ascii="Arial" w:cs="Arial" w:eastAsia="Arial" w:hAnsi="Arial"/>
        <w:sz w:val="16"/>
        <w:szCs w:val="16"/>
      </w:rPr>
      <w:t xml:space="preserve">	Page </w:t>
    </w:r>
    <w:r>
      <w:rPr>
        <w:rFonts w:ascii="Arial" w:cs="Arial" w:eastAsia="Arial" w:hAnsi="Arial"/>
        <w:sz w:val="16"/>
        <w:szCs w:val="16"/>
      </w:rPr>
      <w:fldChar w:fldCharType="begin"/>
      <w:instrText xml:space="preserve">PAGE</w:instrText>
      <w:fldChar w:fldCharType="separate"/>
      <w:fldChar w:fldCharType="end"/>
    </w:r>
    <w:r>
      <w:rPr>
        <w:rFonts w:ascii="Arial" w:cs="Arial" w:eastAsia="Arial" w:hAnsi="Arial"/>
        <w:sz w:val="16"/>
        <w:szCs w:val="16"/>
      </w:rPr>
      <w:t xml:space="preserve"> of </w:t>
    </w:r>
    <w:r>
      <w:rPr>
        <w:rFonts w:ascii="Arial" w:cs="Arial" w:eastAsia="Arial" w:hAnsi="Arial"/>
        <w:sz w:val="16"/>
        <w:szCs w:val="16"/>
      </w:rPr>
      <w:fldChar w:fldCharType="begin"/>
      <w:instrText xml:space="preserve">NUMPAGES</w:instrText>
      <w:fldChar w:fldCharType="separate"/>
      <w:fldChar w:fldCharType="end"/>
    </w:r>
  </w:p>
  <w:p>
    <w:pPr>
      <w:tabs>
        <w:tab w:val="right" w:pos="9026"/>
      </w:tabs>
      <w:spacing w:after="0"/>
    </w:pPr>
    <w:r>
      <w:rPr>
        <w:rFonts w:ascii="Arial" w:cs="Arial" w:eastAsia="Arial" w:hAnsi="Arial"/>
        <w:sz w:val="16"/>
        <w:szCs w:val="16"/>
      </w:rPr>
      <w:t xml:space="preserve">CDM TEM 010 Rev1</w:t>
    </w:r>
    <w:r>
      <w:rPr>
        <w:rFonts w:ascii="Arial" w:cs="Arial" w:eastAsia="Arial" w:hAnsi="Arial"/>
        <w:sz w:val="16"/>
        <w:szCs w:val="16"/>
      </w:rPr>
      <w:t xml:space="preserve">	Effective: 06-Jun-2026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i/>
        <w:iCs/>
        <w:sz w:val="20"/>
        <w:szCs w:val="20"/>
      </w:rPr>
      <w:t xml:space="preserve">CCS SAP HF-1002-CL-101 v1.0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432" w:hanging="432"/>
      </w:pPr>
    </w:lvl>
    <w:lvl w:ilvl="1" w15:tentative="1">
      <w:start w:val="1"/>
      <w:numFmt w:val="decimal"/>
      <w:lvlText w:val="%1.%2"/>
      <w:lvlJc w:val="left"/>
      <w:pPr>
        <w:ind w:left="576" w:hanging="576"/>
      </w:pPr>
    </w:lvl>
    <w:lvl w:ilvl="2" w15:tentative="1">
      <w:start w:val="1"/>
      <w:numFmt w:val="decimal"/>
      <w:lvlText w:val="%1.%2.%3"/>
      <w:lvlJc w:val="left"/>
      <w:pPr>
        <w:ind w:left="720" w:hanging="720"/>
      </w:pPr>
    </w:lvl>
  </w:abstractNum>
  <w:abstractNum w:abstractNumId="3"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pPr>
      <w:spacing w:after="120" w:before="0"/>
      <w:jc w:val="center"/>
    </w:pPr>
    <w:rPr>
      <w:rFonts w:ascii="Arial" w:cs="Arial" w:eastAsia="Arial" w:hAnsi="Arial"/>
      <w:b/>
      <w:bCs/>
      <w:color w:val="000000"/>
      <w:sz w:val="32"/>
      <w:szCs w:val="32"/>
    </w:rPr>
  </w:style>
  <w:style w:type="paragraph" w:styleId="Heading1">
    <w:name w:val="Heading 1"/>
    <w:basedOn w:val="Normal"/>
    <w:next w:val="Normal"/>
    <w:qFormat/>
    <w:pPr>
      <w:spacing w:after="120" w:before="240"/>
      <w:outlineLvl w:val="0"/>
    </w:pPr>
    <w:rPr>
      <w:rFonts w:ascii="Arial" w:cs="Arial" w:eastAsia="Arial" w:hAnsi="Arial"/>
      <w:b/>
      <w:bCs/>
      <w:color w:val="000000"/>
      <w:sz w:val="26"/>
      <w:szCs w:val="26"/>
    </w:rPr>
  </w:style>
  <w:style w:type="paragraph" w:styleId="Heading2">
    <w:name w:val="Heading 2"/>
    <w:basedOn w:val="Normal"/>
    <w:next w:val="Normal"/>
    <w:qFormat/>
    <w:pPr>
      <w:spacing w:after="100" w:before="200"/>
      <w:outlineLvl w:val="1"/>
    </w:pPr>
    <w:rPr>
      <w:rFonts w:ascii="Arial" w:cs="Arial" w:eastAsia="Arial" w:hAnsi="Arial"/>
      <w:b/>
      <w:bCs/>
      <w:color w:val="000000"/>
      <w:sz w:val="24"/>
      <w:szCs w:val="24"/>
    </w:rPr>
  </w:style>
  <w:style w:type="paragraph" w:styleId="Heading3">
    <w:name w:val="Heading 3"/>
    <w:basedOn w:val="Normal"/>
    <w:next w:val="Normal"/>
    <w:qFormat/>
    <w:pPr>
      <w:spacing w:after="80" w:before="160"/>
      <w:outlineLvl w:val="2"/>
    </w:pPr>
    <w:rPr>
      <w:rFonts w:ascii="Arial" w:cs="Arial" w:eastAsia="Arial" w:hAnsi="Arial"/>
      <w:b/>
      <w:bCs/>
      <w:color w:val="00000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2026-06-07T01:05:30.237Z</dcterms:created>
  <dcterms:modified xsi:type="dcterms:W3CDTF">2026-06-07T01:05:30.237Z</dcterms:modified>
</cp:coreProperties>
</file>

<file path=docProps/custom.xml><?xml version="1.0" encoding="utf-8"?>
<Properties xmlns="http://schemas.openxmlformats.org/officeDocument/2006/custom-properties" xmlns:vt="http://schemas.openxmlformats.org/officeDocument/2006/docPropsVTypes"/>
</file>